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69AE" w:rsidRDefault="00DE69AE" w:rsidP="00D130A4">
      <w:pPr>
        <w:spacing w:line="36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¿Qué lugar ocupa la cultura en el Presupuesto Nacional?</w:t>
      </w:r>
    </w:p>
    <w:p w:rsidR="00DA5214" w:rsidRPr="002633AC" w:rsidRDefault="00DE69AE" w:rsidP="00D130A4">
      <w:pPr>
        <w:spacing w:line="36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Un breve análisis descriptivo de la e</w:t>
      </w:r>
      <w:r w:rsidR="00FF09CB" w:rsidRPr="002633AC">
        <w:rPr>
          <w:rFonts w:ascii="Times New Roman" w:hAnsi="Times New Roman" w:cs="Times New Roman"/>
          <w:b/>
          <w:sz w:val="28"/>
          <w:szCs w:val="28"/>
          <w:u w:val="single"/>
        </w:rPr>
        <w:t xml:space="preserve">volución de la asignación presupuestal en </w:t>
      </w:r>
      <w:r>
        <w:rPr>
          <w:rFonts w:ascii="Times New Roman" w:hAnsi="Times New Roman" w:cs="Times New Roman"/>
          <w:b/>
          <w:sz w:val="28"/>
          <w:szCs w:val="28"/>
          <w:u w:val="single"/>
        </w:rPr>
        <w:t>cultura 1999-2018</w:t>
      </w:r>
    </w:p>
    <w:p w:rsidR="007E467C" w:rsidRDefault="007E467C" w:rsidP="00D130A4">
      <w:pPr>
        <w:spacing w:line="360" w:lineRule="auto"/>
        <w:jc w:val="both"/>
        <w:rPr>
          <w:rFonts w:ascii="Times New Roman" w:hAnsi="Times New Roman" w:cs="Times New Roman"/>
          <w:sz w:val="24"/>
          <w:szCs w:val="24"/>
        </w:rPr>
      </w:pPr>
      <w:r>
        <w:rPr>
          <w:rFonts w:ascii="Times New Roman" w:hAnsi="Times New Roman" w:cs="Times New Roman"/>
          <w:sz w:val="24"/>
          <w:szCs w:val="24"/>
        </w:rPr>
        <w:t>ESTRUCTURA:</w:t>
      </w:r>
    </w:p>
    <w:p w:rsidR="007E467C" w:rsidRDefault="007E467C" w:rsidP="00D130A4">
      <w:pPr>
        <w:pStyle w:val="Prrafodelista"/>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ABSTRACT</w:t>
      </w:r>
    </w:p>
    <w:p w:rsidR="007E467C" w:rsidRDefault="007E467C" w:rsidP="00D130A4">
      <w:pPr>
        <w:pStyle w:val="Prrafodelista"/>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PALABRAS CLAVE</w:t>
      </w:r>
    </w:p>
    <w:p w:rsidR="007E467C" w:rsidRDefault="007E467C" w:rsidP="00D130A4">
      <w:pPr>
        <w:pStyle w:val="Prrafodelista"/>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INTRO</w:t>
      </w:r>
    </w:p>
    <w:p w:rsidR="007E467C" w:rsidRDefault="007E467C" w:rsidP="00D130A4">
      <w:pPr>
        <w:pStyle w:val="Prrafodelista"/>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DEFINICIONES: DE LA CULTURA EN EL PRESUPUESTO NACIONAL (O ALGO ASÍ)</w:t>
      </w:r>
    </w:p>
    <w:p w:rsidR="007E467C" w:rsidRDefault="007E467C" w:rsidP="00D130A4">
      <w:pPr>
        <w:pStyle w:val="Prrafodelista"/>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LA CULTURA EN RELACIÓN AL PIB (ESTO PUEDE IR EN LO ANTERIOR)</w:t>
      </w:r>
    </w:p>
    <w:p w:rsidR="007E467C" w:rsidRPr="007E467C" w:rsidRDefault="00075F41" w:rsidP="00D130A4">
      <w:pPr>
        <w:pStyle w:val="Prrafodelista"/>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UNA MIRADA AL </w:t>
      </w:r>
      <w:r w:rsidR="007E467C">
        <w:rPr>
          <w:rFonts w:ascii="Times New Roman" w:hAnsi="Times New Roman" w:cs="Times New Roman"/>
          <w:sz w:val="24"/>
          <w:szCs w:val="24"/>
        </w:rPr>
        <w:t>REPARTO INTERNO</w:t>
      </w:r>
    </w:p>
    <w:p w:rsidR="007E467C" w:rsidRDefault="007E467C" w:rsidP="00D130A4">
      <w:pPr>
        <w:pStyle w:val="Prrafodelista"/>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LA EJECUCIÓN</w:t>
      </w:r>
      <w:r w:rsidR="00075F41">
        <w:rPr>
          <w:rFonts w:ascii="Times New Roman" w:hAnsi="Times New Roman" w:cs="Times New Roman"/>
          <w:sz w:val="24"/>
          <w:szCs w:val="24"/>
        </w:rPr>
        <w:t>, LA DIFICIL LABOR DE PROBAR LA EFICIENCIA</w:t>
      </w:r>
    </w:p>
    <w:p w:rsidR="007E467C" w:rsidRPr="007E467C" w:rsidRDefault="007D78AC" w:rsidP="00D130A4">
      <w:pPr>
        <w:pStyle w:val="Prrafodelista"/>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APUNTES FINALES</w:t>
      </w:r>
      <w:r w:rsidR="00075F41">
        <w:rPr>
          <w:rFonts w:ascii="Times New Roman" w:hAnsi="Times New Roman" w:cs="Times New Roman"/>
          <w:sz w:val="24"/>
          <w:szCs w:val="24"/>
        </w:rPr>
        <w:t xml:space="preserve"> (PONER QUE QUEDA COMO UNO DE LOS GRANDES PENDIENTES HACER UNA MIRADA TERRITORIAL DEL PRESUPUESTO; PONER ADEMÁS QUE ES MUY DIFÍCIL PARA LAS POLÍTICAS CULTURALES ACOMPAÑAR LOS PROCESOS DE EVALUACIÓN PRESUPUESTAL DE LOS QUE DISPONE EL ESTADO ACTUALMENTE, DANDO CUENTA EFECTIVAMENTE DE LO HECHO-PONER PREGUNTAS)</w:t>
      </w:r>
    </w:p>
    <w:p w:rsidR="007E467C" w:rsidRDefault="007E467C" w:rsidP="00D130A4">
      <w:pPr>
        <w:spacing w:line="360" w:lineRule="auto"/>
        <w:jc w:val="both"/>
        <w:rPr>
          <w:rFonts w:ascii="Times New Roman" w:hAnsi="Times New Roman" w:cs="Times New Roman"/>
          <w:sz w:val="24"/>
          <w:szCs w:val="24"/>
          <w:u w:val="single"/>
        </w:rPr>
      </w:pPr>
    </w:p>
    <w:p w:rsidR="00DE69AE" w:rsidRPr="00DE69AE" w:rsidRDefault="00DE69AE" w:rsidP="00D130A4">
      <w:pPr>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Introducción</w:t>
      </w:r>
    </w:p>
    <w:p w:rsidR="000A7FF3" w:rsidRDefault="00BF0D43" w:rsidP="000A7FF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En el mismo se presentan los cambios en </w:t>
      </w:r>
      <w:r w:rsidR="000B68A5">
        <w:rPr>
          <w:rFonts w:ascii="Times New Roman" w:hAnsi="Times New Roman" w:cs="Times New Roman"/>
          <w:sz w:val="24"/>
          <w:szCs w:val="24"/>
        </w:rPr>
        <w:t>la asignación presupuestal del poder ejecutivo</w:t>
      </w:r>
      <w:r>
        <w:rPr>
          <w:rFonts w:ascii="Times New Roman" w:hAnsi="Times New Roman" w:cs="Times New Roman"/>
          <w:sz w:val="24"/>
          <w:szCs w:val="24"/>
        </w:rPr>
        <w:t xml:space="preserve"> para el funcionamiento, la inversión y el pago de personal de las instituciones públicas que tienen tareas específicamente dedicadas a la cultura y que se encuentran bajo la órbita del Ministerio de Educación y Cultura (MEC)</w:t>
      </w:r>
      <w:r w:rsidR="000A7FF3">
        <w:rPr>
          <w:rFonts w:ascii="Times New Roman" w:hAnsi="Times New Roman" w:cs="Times New Roman"/>
          <w:sz w:val="24"/>
          <w:szCs w:val="24"/>
        </w:rPr>
        <w:t xml:space="preserve">, es decir, las Unidades Ejecutoras especializadas en la materia. </w:t>
      </w:r>
    </w:p>
    <w:p w:rsidR="001062FB" w:rsidRDefault="002E5D46" w:rsidP="00D130A4">
      <w:pPr>
        <w:spacing w:line="360" w:lineRule="auto"/>
        <w:jc w:val="both"/>
        <w:rPr>
          <w:rFonts w:ascii="Times New Roman" w:hAnsi="Times New Roman" w:cs="Times New Roman"/>
          <w:sz w:val="24"/>
          <w:szCs w:val="24"/>
        </w:rPr>
      </w:pPr>
      <w:r>
        <w:rPr>
          <w:rFonts w:ascii="Times New Roman" w:hAnsi="Times New Roman" w:cs="Times New Roman"/>
          <w:sz w:val="24"/>
          <w:szCs w:val="24"/>
        </w:rPr>
        <w:t>Se trabaja con esta línea temporal porque los datos que se encuentran disponibles para años previos a 1999 no cuentan con los niveles de desagregación por “unidad ejecutora”, solamente están disponibles los gastos desde la perspectiva funcional para la totalidad del MEC; a su vez, un corte que permita ver la evolución y cambios presupuestales en los últimos 20 años ya salta a los ojos como un ejercicio más que interesante, especialmente cuando comprobamos que el punto de partida es el año de inicio de una de las crisis económicas más fuertes que sacudió al país y abarca el último gobierno del Partido Colorado y los tres del Frente Amplio en el poder.</w:t>
      </w:r>
    </w:p>
    <w:p w:rsidR="001062FB" w:rsidRDefault="001062FB" w:rsidP="00D130A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Dicho esto, es pertinente aclara que el trabajo en este artículo es esencialmente descriptivo y no pretende una densidad analítica espesa, sino que busca abrir puertas a nuevas investigaciones que permitan avanzar en estos temas que parecen tan ajenos al quehacer de la gestión cultural. </w:t>
      </w:r>
    </w:p>
    <w:p w:rsidR="007E467C" w:rsidRDefault="00E6055E" w:rsidP="00D130A4">
      <w:pPr>
        <w:spacing w:line="360" w:lineRule="auto"/>
        <w:jc w:val="both"/>
        <w:rPr>
          <w:rFonts w:ascii="Times New Roman" w:hAnsi="Times New Roman" w:cs="Times New Roman"/>
          <w:sz w:val="24"/>
          <w:szCs w:val="24"/>
          <w:u w:val="single"/>
        </w:rPr>
      </w:pPr>
      <w:r w:rsidRPr="00B31394">
        <w:rPr>
          <w:rFonts w:ascii="Times New Roman" w:hAnsi="Times New Roman" w:cs="Times New Roman"/>
          <w:sz w:val="24"/>
          <w:szCs w:val="24"/>
          <w:u w:val="single"/>
        </w:rPr>
        <w:lastRenderedPageBreak/>
        <w:t xml:space="preserve"> </w:t>
      </w:r>
      <w:r w:rsidR="00B31394" w:rsidRPr="00B31394">
        <w:rPr>
          <w:rFonts w:ascii="Times New Roman" w:hAnsi="Times New Roman" w:cs="Times New Roman"/>
          <w:sz w:val="24"/>
          <w:szCs w:val="24"/>
          <w:u w:val="single"/>
        </w:rPr>
        <w:t>De las definiciones. La asignación de presupuesto en cultura en el Presupuesto Nacional</w:t>
      </w:r>
    </w:p>
    <w:p w:rsidR="003804EC" w:rsidRDefault="007E467C" w:rsidP="00D130A4">
      <w:pPr>
        <w:pStyle w:val="Textoindependiente"/>
        <w:spacing w:after="0" w:line="360" w:lineRule="auto"/>
        <w:jc w:val="both"/>
      </w:pPr>
      <w:r>
        <w:t xml:space="preserve">Lo que se pretende </w:t>
      </w:r>
      <w:r w:rsidR="00A048BA">
        <w:t xml:space="preserve">en este primer apartado, es establecer algunas definiciones que den marco al resto del trabajo que aquí se presenta. Posiblemente, una de las primeras interrogantes que surge es que se tomará como definición de cultura, ya que sin ella </w:t>
      </w:r>
      <w:r w:rsidR="002F01E2">
        <w:t xml:space="preserve">todas las enunciaciones que vengan después serán más vulnerables a cuestionamientos. </w:t>
      </w:r>
      <w:r w:rsidR="006A34EC">
        <w:t>Ya que lo que se pretende en este trabajo es verificar y echar luz sobre qué lugar ocupa la cultura en el Presupu</w:t>
      </w:r>
      <w:r w:rsidR="003C177D">
        <w:t xml:space="preserve">esto Nacional, </w:t>
      </w:r>
      <w:r w:rsidR="002F1855">
        <w:t xml:space="preserve">se tomará la definición de cultura de la </w:t>
      </w:r>
      <w:r w:rsidR="003C177D">
        <w:t>Declaración de la UNESCO en México 1982, sobre las Políticas Culturales</w:t>
      </w:r>
      <w:r w:rsidR="002F1855">
        <w:t>,</w:t>
      </w:r>
      <w:r w:rsidR="003C177D">
        <w:t xml:space="preserve"> donde se </w:t>
      </w:r>
      <w:r w:rsidR="002F1855">
        <w:t>la entiende</w:t>
      </w:r>
      <w:r w:rsidR="003C177D">
        <w:t xml:space="preserve"> </w:t>
      </w:r>
      <w:r w:rsidR="003C177D" w:rsidRPr="007111DE">
        <w:rPr>
          <w:color w:val="000000"/>
          <w:lang w:val="es-MX"/>
        </w:rPr>
        <w:t>“como el conjunto de los rasgos distintivos, espirituales y materiales, intelectuales y afectivos que caracterizan a una sociedad o un grupo social. Ella engloba, además de las artes y las letras, los modos de vida, los derechos fundamentales al ser humano, los sistemas de valores, las tradiciones y las creencias”; agrega demás que “la cultura da al hombre la capacidad de reflexionar sobre sí mismo. Es ella la que hace de  nosotros seres específicamente humanos, racionales, críticos y éticamente comprometidos. A través de ella discernimos los valores y efectuamos opciones. A través de ella el hombre se  expresa, toma conciencia de sí mismo, se reconoce como un proyecto inacabado, pone en cuestión sus propias realizaciones, busca incansablemente nuevas significaciones, y crea obras que lo trascienden</w:t>
      </w:r>
      <w:r w:rsidR="002F1855" w:rsidRPr="007111DE">
        <w:rPr>
          <w:color w:val="000000"/>
          <w:lang w:val="es-MX"/>
        </w:rPr>
        <w:t>”</w:t>
      </w:r>
      <w:r w:rsidR="002F1855" w:rsidRPr="007111DE">
        <w:t>.</w:t>
      </w:r>
      <w:r w:rsidR="002F1855" w:rsidRPr="003804EC">
        <w:t xml:space="preserve"> Se toma esta definición en tanto ha sido producto de un acuerdo entre los Estados miembros del mencionado organismo internacional, al tiempo que ha sido referente para todos ellos en materia de posteriores declaraciones o convenciones, así como para las legislaciones nacionales de muchos de ellos. </w:t>
      </w:r>
    </w:p>
    <w:p w:rsidR="00060304" w:rsidRDefault="005079C4" w:rsidP="00D130A4">
      <w:pPr>
        <w:pStyle w:val="Textoindependiente"/>
        <w:spacing w:line="360" w:lineRule="auto"/>
        <w:jc w:val="both"/>
        <w:rPr>
          <w:lang w:val="es-UY"/>
        </w:rPr>
      </w:pPr>
      <w:r>
        <w:t>Sigui</w:t>
      </w:r>
      <w:r w:rsidR="00D07DCC">
        <w:t xml:space="preserve">endo esta línea de pensamiento, </w:t>
      </w:r>
      <w:r w:rsidR="00BC134B">
        <w:t>necesitamos algunas definiciones adicionales que posibiliten comprender el encuadre de este trabajo. La primera, es la de política pública, que serán entendidas y se corresponderán a</w:t>
      </w:r>
      <w:r w:rsidR="0037526F" w:rsidRPr="0037526F">
        <w:rPr>
          <w:lang w:val="es-UY"/>
        </w:rPr>
        <w:t xml:space="preserve"> cursos de acción y flujos de información relacionados con un objetivo público definido en forma democrática; los que son desarrollados por el sector público y, frecuentemente, con la participación de la comunidad y el sector privado. Una política pública de calidad incluirá orientaciones o contenidos, instrumentos o mecanismos, definiciones o modificaciones institucionales, y la previsión de sus re</w:t>
      </w:r>
      <w:r w:rsidR="003C659C">
        <w:rPr>
          <w:lang w:val="es-UY"/>
        </w:rPr>
        <w:t>sultados” (</w:t>
      </w:r>
      <w:proofErr w:type="spellStart"/>
      <w:r w:rsidR="003C659C">
        <w:rPr>
          <w:lang w:val="es-UY"/>
        </w:rPr>
        <w:t>Lahera</w:t>
      </w:r>
      <w:proofErr w:type="spellEnd"/>
      <w:r w:rsidR="003C659C">
        <w:rPr>
          <w:lang w:val="es-UY"/>
        </w:rPr>
        <w:t xml:space="preserve"> Parada, 2002).</w:t>
      </w:r>
    </w:p>
    <w:p w:rsidR="001205DA" w:rsidRDefault="004C39D2" w:rsidP="00D130A4">
      <w:pPr>
        <w:pStyle w:val="Textoindependiente"/>
        <w:spacing w:line="360" w:lineRule="auto"/>
        <w:jc w:val="both"/>
      </w:pPr>
      <w:r>
        <w:t>Para poder cerrar aún más el universo de este trabajo y hacerlo más aprehensible, es necesario buscar una referencia teórica aún más precisa, una que defina qué es una política cultural.</w:t>
      </w:r>
      <w:r w:rsidR="00147036">
        <w:rPr>
          <w:lang w:val="es-UY"/>
        </w:rPr>
        <w:t xml:space="preserve"> Teixeira Coelho, en su Diccionario Crítico de Política Cultural, define a estas últimas </w:t>
      </w:r>
      <w:r w:rsidR="001205DA">
        <w:rPr>
          <w:lang w:val="es-UY"/>
        </w:rPr>
        <w:t>como el</w:t>
      </w:r>
      <w:r w:rsidR="003C659C">
        <w:rPr>
          <w:lang w:val="es-UY"/>
        </w:rPr>
        <w:t xml:space="preserve"> </w:t>
      </w:r>
      <w:r w:rsidR="003C659C" w:rsidRPr="00C83C3F">
        <w:t>“programa de intervenciones realizadas por el Estado, instituciones civiles, entidades privadas o grupos comunitarios con el objetivo de satisfacer las necesidades culturales de la población y promover el desarrollo de sus representaciones simbólicas</w:t>
      </w:r>
      <w:r w:rsidR="001205DA" w:rsidRPr="00C83C3F">
        <w:t>. Sobre este entendimiento inmediato, la política cultural se representa así como un conjunto e iniciativas tomadas por esos agentes, buscando promover la producción, distribución y el uso de la cultura, la preservación y difusión del patrimonio histórico y el ordenamiento del aparato burocrático responsable de ellas</w:t>
      </w:r>
      <w:r w:rsidR="007461B4" w:rsidRPr="00C83C3F">
        <w:t>. Esas intervenciones asumen la forma de: 1</w:t>
      </w:r>
      <w:r w:rsidR="00C83C3F" w:rsidRPr="00C83C3F">
        <w:t>)</w:t>
      </w:r>
      <w:r w:rsidR="007461B4" w:rsidRPr="00C83C3F">
        <w:t xml:space="preserve"> normas jurídicas, en el caso del Estado, o procedimientos tipificados, en relación a lo</w:t>
      </w:r>
      <w:r w:rsidR="00C83C3F" w:rsidRPr="00C83C3F">
        <w:t xml:space="preserve">s demás agentes, que rigen las relaciones entre los diversos sujetos y objetos </w:t>
      </w:r>
      <w:r w:rsidR="00C83C3F" w:rsidRPr="00C83C3F">
        <w:lastRenderedPageBreak/>
        <w:t xml:space="preserve">culturales y; 2) intervenciones directas en el proceso cultural propiamente dicho (construcción de centros de cultura, apoyo a manifestaciones culturales específicas, </w:t>
      </w:r>
      <w:proofErr w:type="spellStart"/>
      <w:r w:rsidR="00C83C3F" w:rsidRPr="00C83C3F">
        <w:t>etc</w:t>
      </w:r>
      <w:proofErr w:type="spellEnd"/>
      <w:r w:rsidR="00C83C3F" w:rsidRPr="00C83C3F">
        <w:t>)</w:t>
      </w:r>
      <w:r w:rsidR="003C659C" w:rsidRPr="00C83C3F">
        <w:t>” (</w:t>
      </w:r>
      <w:r w:rsidR="00147036" w:rsidRPr="00C83C3F">
        <w:t>1</w:t>
      </w:r>
      <w:r w:rsidR="003C659C" w:rsidRPr="00C83C3F">
        <w:t>997</w:t>
      </w:r>
      <w:r w:rsidR="001205DA" w:rsidRPr="00C83C3F">
        <w:t>: 292</w:t>
      </w:r>
      <w:r w:rsidR="003C659C" w:rsidRPr="00C83C3F">
        <w:t xml:space="preserve">). </w:t>
      </w:r>
    </w:p>
    <w:p w:rsidR="004C39D2" w:rsidRDefault="004C39D2" w:rsidP="00D130A4">
      <w:pPr>
        <w:pStyle w:val="Textoindependiente"/>
        <w:spacing w:line="360" w:lineRule="auto"/>
        <w:jc w:val="both"/>
        <w:rPr>
          <w:lang w:val="es-UY"/>
        </w:rPr>
      </w:pPr>
      <w:r>
        <w:rPr>
          <w:lang w:val="es-UY"/>
        </w:rPr>
        <w:t>Tomando como base argumental lo expuesto en los párrafos anteriores, salta a las claras que es</w:t>
      </w:r>
      <w:r>
        <w:t xml:space="preserve"> el Estado, a través de sus políticas en cultura, el que debe velar por que ella se ejerza con libertad, creatividad y disfrute</w:t>
      </w:r>
      <w:r>
        <w:rPr>
          <w:rStyle w:val="Refdenotaalpie"/>
        </w:rPr>
        <w:footnoteReference w:id="1"/>
      </w:r>
      <w:r>
        <w:t xml:space="preserve">. Por tanto, las políticas públicas en cultura serán el </w:t>
      </w:r>
      <w:r w:rsidRPr="004C39D2">
        <w:rPr>
          <w:lang w:val="es-UY"/>
        </w:rPr>
        <w:t>“</w:t>
      </w:r>
      <w:r>
        <w:rPr>
          <w:lang w:val="es-UY"/>
        </w:rPr>
        <w:t>c</w:t>
      </w:r>
      <w:r w:rsidRPr="004C39D2">
        <w:rPr>
          <w:lang w:val="es-UY"/>
        </w:rPr>
        <w:t>onjunto de principios, prácticas y presupuestos que sirven de base para la intervención de los poderes públicos en la actividad cultural, radicada en su jurisdicción territorial, con el objeto de satisfacer las necesidades sociales de la población, en cualquiera de los sectores culturales” (UNESCO, 1982)</w:t>
      </w:r>
      <w:r>
        <w:rPr>
          <w:lang w:val="es-UY"/>
        </w:rPr>
        <w:t>.</w:t>
      </w:r>
    </w:p>
    <w:p w:rsidR="003C659C" w:rsidRDefault="004C39D2" w:rsidP="00D130A4">
      <w:pPr>
        <w:pStyle w:val="Textoindependiente"/>
        <w:spacing w:line="360" w:lineRule="auto"/>
        <w:jc w:val="both"/>
        <w:rPr>
          <w:lang w:val="es-UY"/>
        </w:rPr>
      </w:pPr>
      <w:r>
        <w:rPr>
          <w:lang w:val="es-UY"/>
        </w:rPr>
        <w:t>Estos son los principales fundamentos teórico</w:t>
      </w:r>
      <w:r w:rsidR="00EE641D">
        <w:rPr>
          <w:lang w:val="es-UY"/>
        </w:rPr>
        <w:t>s que dan la base de</w:t>
      </w:r>
      <w:r>
        <w:rPr>
          <w:lang w:val="es-UY"/>
        </w:rPr>
        <w:t xml:space="preserve"> a la tarea que se pretende llevar adelante en este trabajo. Es impensable el desarrollo cultural de un p</w:t>
      </w:r>
      <w:r w:rsidR="00602083">
        <w:rPr>
          <w:lang w:val="es-UY"/>
        </w:rPr>
        <w:t>aís por fuera del accionar</w:t>
      </w:r>
      <w:r>
        <w:rPr>
          <w:lang w:val="es-UY"/>
        </w:rPr>
        <w:t xml:space="preserve"> del </w:t>
      </w:r>
      <w:r w:rsidR="00602083">
        <w:rPr>
          <w:lang w:val="es-UY"/>
        </w:rPr>
        <w:t>Estado, ese accionar es</w:t>
      </w:r>
      <w:r>
        <w:rPr>
          <w:lang w:val="es-UY"/>
        </w:rPr>
        <w:t xml:space="preserve"> mediante las políticas públicas en cultura, éstas las llevan adelante un conjunto específico de instituc</w:t>
      </w:r>
      <w:r w:rsidR="0006757B">
        <w:rPr>
          <w:lang w:val="es-UY"/>
        </w:rPr>
        <w:t>iones que forman parte de él</w:t>
      </w:r>
      <w:r w:rsidR="00602083">
        <w:rPr>
          <w:lang w:val="es-UY"/>
        </w:rPr>
        <w:t xml:space="preserve"> a las que además se les asigna un presupuesto en pos de su correcto desempeño.</w:t>
      </w:r>
      <w:r w:rsidR="0006757B">
        <w:rPr>
          <w:lang w:val="es-UY"/>
        </w:rPr>
        <w:t xml:space="preserve"> Aquí veremos solo una porción de las políticas públicas en cultura, la que se corresponde a la vinculación entre Presupuesto Nacional y la asignación presupuestal a las instituciones públicas con especificidad en la materia.</w:t>
      </w:r>
    </w:p>
    <w:p w:rsidR="00357E6F" w:rsidRDefault="00357E6F" w:rsidP="00D130A4">
      <w:pPr>
        <w:pStyle w:val="Textoindependiente"/>
        <w:spacing w:line="360" w:lineRule="auto"/>
        <w:jc w:val="both"/>
        <w:rPr>
          <w:lang w:val="es-UY"/>
        </w:rPr>
      </w:pPr>
    </w:p>
    <w:p w:rsidR="00B00E42" w:rsidRDefault="00BA2F9D" w:rsidP="00D130A4">
      <w:pPr>
        <w:pStyle w:val="Textoindependiente"/>
        <w:spacing w:line="360" w:lineRule="auto"/>
        <w:jc w:val="both"/>
        <w:rPr>
          <w:lang w:val="es-UY"/>
        </w:rPr>
      </w:pPr>
      <w:r>
        <w:rPr>
          <w:lang w:val="es-UY"/>
        </w:rPr>
        <w:t xml:space="preserve">Existen dos formas para ver los datos financieros del Presupuesto Nacional en Uruguay. Una es aquella que los ordena desde una </w:t>
      </w:r>
      <w:r w:rsidRPr="000A7FF3">
        <w:rPr>
          <w:i/>
          <w:lang w:val="es-UY"/>
        </w:rPr>
        <w:t>perspectiva funcional</w:t>
      </w:r>
      <w:r>
        <w:rPr>
          <w:lang w:val="es-UY"/>
        </w:rPr>
        <w:t xml:space="preserve">. Allí el presupuesto es asignado según Áreas Programáticas </w:t>
      </w:r>
      <w:r w:rsidR="00B00E42">
        <w:rPr>
          <w:lang w:val="es-UY"/>
        </w:rPr>
        <w:t xml:space="preserve">(AP) </w:t>
      </w:r>
      <w:r>
        <w:rPr>
          <w:lang w:val="es-UY"/>
        </w:rPr>
        <w:t xml:space="preserve">que son funciones </w:t>
      </w:r>
      <w:r w:rsidR="00B00E42">
        <w:rPr>
          <w:lang w:val="es-UY"/>
        </w:rPr>
        <w:t xml:space="preserve">superiores que realiza el Estada que van más allá de los períodos concretos de cada gobierno. A su vez, cada </w:t>
      </w:r>
      <w:r>
        <w:rPr>
          <w:lang w:val="es-UY"/>
        </w:rPr>
        <w:t xml:space="preserve"> </w:t>
      </w:r>
      <w:r w:rsidR="00B00E42">
        <w:rPr>
          <w:lang w:val="es-UY"/>
        </w:rPr>
        <w:t>AP está compuesta por Programas Presupuestales que son el conjunto de actividades o políticas mediante las cuales el Estado busca alcanzar un objetivo en un período de tiempo estipulado, para ello puede contribuir una o varias instituciones</w:t>
      </w:r>
      <w:r w:rsidR="00D130A4">
        <w:rPr>
          <w:rStyle w:val="Refdenotaalpie"/>
          <w:lang w:val="es-UY"/>
        </w:rPr>
        <w:footnoteReference w:id="2"/>
      </w:r>
      <w:r w:rsidR="00B00E42">
        <w:rPr>
          <w:lang w:val="es-UY"/>
        </w:rPr>
        <w:t xml:space="preserve">. </w:t>
      </w:r>
    </w:p>
    <w:p w:rsidR="00F808BF" w:rsidRPr="00F808BF" w:rsidRDefault="00D130A4" w:rsidP="00F808BF">
      <w:pPr>
        <w:pStyle w:val="Textoindependiente"/>
        <w:spacing w:line="360" w:lineRule="auto"/>
        <w:jc w:val="both"/>
        <w:rPr>
          <w:lang w:val="es-UY"/>
        </w:rPr>
      </w:pPr>
      <w:r>
        <w:rPr>
          <w:lang w:val="es-UY"/>
        </w:rPr>
        <w:t>Nuestro país tiene</w:t>
      </w:r>
      <w:r w:rsidR="00F808BF">
        <w:rPr>
          <w:lang w:val="es-UY"/>
        </w:rPr>
        <w:t xml:space="preserve"> 18 Áreas Programáticas. La relativa a la cultura es “Cultura y Deporte” y “c</w:t>
      </w:r>
      <w:r w:rsidR="00F808BF" w:rsidRPr="00F808BF">
        <w:rPr>
          <w:lang w:val="es-UY"/>
        </w:rPr>
        <w:t>omprende la administración y prestación de tres diferentes tipos de servicios:</w:t>
      </w:r>
    </w:p>
    <w:p w:rsidR="00F808BF" w:rsidRPr="00F808BF" w:rsidRDefault="00F808BF" w:rsidP="00F808BF">
      <w:pPr>
        <w:pStyle w:val="Textoindependiente"/>
        <w:spacing w:line="360" w:lineRule="auto"/>
        <w:jc w:val="both"/>
        <w:rPr>
          <w:lang w:val="es-UY"/>
        </w:rPr>
      </w:pPr>
      <w:r w:rsidRPr="00F808BF">
        <w:rPr>
          <w:lang w:val="es-UY"/>
        </w:rPr>
        <w:t>1) servicios culturales, los que además se supervisan y regulan. Dentro de ellos se incluye la gestión o apoyo de instalaciones para bibliotecas, museos, galerías de arte, teatros, salones de exposición, monumentos, edificios y lugares históricos, así como actos culturales de conciertos, producciones teatrales y cinematográficas, exposiciones de arte, entre otros;</w:t>
      </w:r>
    </w:p>
    <w:p w:rsidR="00F808BF" w:rsidRPr="00F808BF" w:rsidRDefault="00F808BF" w:rsidP="00F808BF">
      <w:pPr>
        <w:pStyle w:val="Textoindependiente"/>
        <w:spacing w:line="360" w:lineRule="auto"/>
        <w:jc w:val="both"/>
        <w:rPr>
          <w:lang w:val="es-UY"/>
        </w:rPr>
      </w:pPr>
      <w:r w:rsidRPr="00F808BF">
        <w:rPr>
          <w:lang w:val="es-UY"/>
        </w:rPr>
        <w:lastRenderedPageBreak/>
        <w:t>2) asuntos relacionados con Servicios Editoriales, de Radio y Televisión. No incluye la supervisión ni la regulación de estos servicios prestados por privados, y, por último;</w:t>
      </w:r>
    </w:p>
    <w:p w:rsidR="0095778E" w:rsidRPr="00A82A77" w:rsidRDefault="00F808BF" w:rsidP="00A82A77">
      <w:pPr>
        <w:pStyle w:val="Textoindependiente"/>
        <w:spacing w:line="360" w:lineRule="auto"/>
        <w:jc w:val="both"/>
        <w:rPr>
          <w:lang w:val="es-UY"/>
        </w:rPr>
      </w:pPr>
      <w:r w:rsidRPr="00F808BF">
        <w:rPr>
          <w:lang w:val="es-UY"/>
        </w:rPr>
        <w:t xml:space="preserve">3) </w:t>
      </w:r>
      <w:proofErr w:type="gramStart"/>
      <w:r w:rsidRPr="00F808BF">
        <w:rPr>
          <w:lang w:val="es-UY"/>
        </w:rPr>
        <w:t>servicios</w:t>
      </w:r>
      <w:proofErr w:type="gramEnd"/>
      <w:r w:rsidRPr="00F808BF">
        <w:rPr>
          <w:lang w:val="es-UY"/>
        </w:rPr>
        <w:t xml:space="preserve"> recreativos y deportivos, así como la supervisión y regulación de instalaciones y actividades deportivas</w:t>
      </w:r>
      <w:r>
        <w:rPr>
          <w:lang w:val="es-UY"/>
        </w:rPr>
        <w:t>”</w:t>
      </w:r>
      <w:r w:rsidR="003E7634">
        <w:rPr>
          <w:rStyle w:val="Refdenotaalpie"/>
          <w:lang w:val="es-UY"/>
        </w:rPr>
        <w:footnoteReference w:id="3"/>
      </w:r>
      <w:r w:rsidR="007C27EB">
        <w:rPr>
          <w:lang w:val="es-UY"/>
        </w:rPr>
        <w:t>.</w:t>
      </w:r>
    </w:p>
    <w:p w:rsidR="00A82A77" w:rsidRPr="00A82A77" w:rsidRDefault="00A82A77" w:rsidP="00A82A77">
      <w:pPr>
        <w:pStyle w:val="Descripcin"/>
        <w:keepNext/>
        <w:jc w:val="center"/>
        <w:rPr>
          <w:sz w:val="22"/>
          <w:szCs w:val="22"/>
        </w:rPr>
      </w:pPr>
      <w:r w:rsidRPr="00A82A77">
        <w:rPr>
          <w:sz w:val="22"/>
          <w:szCs w:val="22"/>
        </w:rPr>
        <w:t xml:space="preserve">Ilustración </w:t>
      </w:r>
      <w:r w:rsidRPr="00A82A77">
        <w:rPr>
          <w:sz w:val="22"/>
          <w:szCs w:val="22"/>
        </w:rPr>
        <w:fldChar w:fldCharType="begin"/>
      </w:r>
      <w:r w:rsidRPr="00A82A77">
        <w:rPr>
          <w:sz w:val="22"/>
          <w:szCs w:val="22"/>
        </w:rPr>
        <w:instrText xml:space="preserve"> SEQ Ilustración \* ARABIC </w:instrText>
      </w:r>
      <w:r w:rsidRPr="00A82A77">
        <w:rPr>
          <w:sz w:val="22"/>
          <w:szCs w:val="22"/>
        </w:rPr>
        <w:fldChar w:fldCharType="separate"/>
      </w:r>
      <w:r w:rsidRPr="00A82A77">
        <w:rPr>
          <w:sz w:val="22"/>
          <w:szCs w:val="22"/>
        </w:rPr>
        <w:t>1</w:t>
      </w:r>
      <w:r w:rsidRPr="00A82A77">
        <w:rPr>
          <w:sz w:val="22"/>
          <w:szCs w:val="22"/>
        </w:rPr>
        <w:fldChar w:fldCharType="end"/>
      </w:r>
      <w:r w:rsidRPr="00A82A77">
        <w:rPr>
          <w:sz w:val="22"/>
          <w:szCs w:val="22"/>
        </w:rPr>
        <w:t xml:space="preserve"> Asignación presupuestal por Área Programática</w:t>
      </w:r>
    </w:p>
    <w:p w:rsidR="00B928B6" w:rsidRPr="00B928B6" w:rsidRDefault="00F808BF" w:rsidP="0095778E">
      <w:pPr>
        <w:pStyle w:val="Textoindependiente"/>
        <w:jc w:val="center"/>
        <w:rPr>
          <w:lang w:val="es-UY"/>
        </w:rPr>
      </w:pPr>
      <w:r w:rsidRPr="00DB4981">
        <w:rPr>
          <w:noProof/>
          <w:lang w:val="es-UY" w:eastAsia="es-UY"/>
        </w:rPr>
        <w:drawing>
          <wp:inline distT="0" distB="0" distL="0" distR="0" wp14:anchorId="76017CF5" wp14:editId="3223A77C">
            <wp:extent cx="5805805" cy="3934225"/>
            <wp:effectExtent l="38100" t="38100" r="23495" b="28575"/>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888713" cy="3990407"/>
                    </a:xfrm>
                    <a:prstGeom prst="rect">
                      <a:avLst/>
                    </a:prstGeom>
                    <a:noFill/>
                    <a:ln w="9525">
                      <a:noFill/>
                      <a:miter lim="800000"/>
                      <a:headEnd/>
                      <a:tailEnd/>
                    </a:ln>
                    <a:effectLst>
                      <a:glow rad="25400">
                        <a:schemeClr val="tx1"/>
                      </a:glow>
                      <a:softEdge rad="0"/>
                    </a:effectLst>
                  </pic:spPr>
                </pic:pic>
              </a:graphicData>
            </a:graphic>
          </wp:inline>
        </w:drawing>
      </w:r>
    </w:p>
    <w:p w:rsidR="0095778E" w:rsidRDefault="003E7634" w:rsidP="0095778E">
      <w:pPr>
        <w:pStyle w:val="Textoindependiente"/>
        <w:spacing w:after="360"/>
        <w:jc w:val="center"/>
        <w:rPr>
          <w:lang w:val="es-UY"/>
        </w:rPr>
      </w:pPr>
      <w:r>
        <w:rPr>
          <w:sz w:val="16"/>
          <w:szCs w:val="16"/>
        </w:rPr>
        <w:t xml:space="preserve">Imagen </w:t>
      </w:r>
      <w:r w:rsidR="001875D4">
        <w:rPr>
          <w:sz w:val="16"/>
          <w:szCs w:val="16"/>
        </w:rPr>
        <w:t>e</w:t>
      </w:r>
      <w:r>
        <w:rPr>
          <w:sz w:val="16"/>
          <w:szCs w:val="16"/>
        </w:rPr>
        <w:t xml:space="preserve">xtraída de: </w:t>
      </w:r>
      <w:r w:rsidRPr="003E7634">
        <w:rPr>
          <w:sz w:val="16"/>
          <w:szCs w:val="16"/>
        </w:rPr>
        <w:t>https://transparenciapresupuestaria.opp.gub.uy/inicio/presupuesto-nacional/a-d%C3%B3nde-van-nuestros-impuestos</w:t>
      </w:r>
    </w:p>
    <w:p w:rsidR="001875D4" w:rsidRDefault="001875D4" w:rsidP="00F6058C">
      <w:pPr>
        <w:pStyle w:val="Textoindependiente"/>
        <w:spacing w:line="360" w:lineRule="auto"/>
        <w:jc w:val="both"/>
        <w:rPr>
          <w:lang w:val="es-UY"/>
        </w:rPr>
      </w:pPr>
      <w:r>
        <w:rPr>
          <w:lang w:val="es-UY"/>
        </w:rPr>
        <w:t>A s</w:t>
      </w:r>
      <w:r w:rsidR="000A1A29">
        <w:rPr>
          <w:lang w:val="es-UY"/>
        </w:rPr>
        <w:t>u vez, esta AP se descompone cuatro programas de los que para este trabajo solo interesan dos:</w:t>
      </w:r>
      <w:r>
        <w:rPr>
          <w:lang w:val="es-UY"/>
        </w:rPr>
        <w:t xml:space="preserve"> </w:t>
      </w:r>
    </w:p>
    <w:p w:rsidR="001875D4" w:rsidRDefault="000A1A29" w:rsidP="00F6058C">
      <w:pPr>
        <w:pStyle w:val="Textoindependiente"/>
        <w:numPr>
          <w:ilvl w:val="0"/>
          <w:numId w:val="8"/>
        </w:numPr>
        <w:spacing w:line="360" w:lineRule="auto"/>
        <w:jc w:val="both"/>
        <w:rPr>
          <w:lang w:val="es-UY"/>
        </w:rPr>
      </w:pPr>
      <w:r>
        <w:rPr>
          <w:lang w:val="es-UY"/>
        </w:rPr>
        <w:t>“</w:t>
      </w:r>
      <w:r w:rsidR="001875D4">
        <w:rPr>
          <w:lang w:val="es-UY"/>
        </w:rPr>
        <w:t xml:space="preserve">Bienes y Servicios Culturales: </w:t>
      </w:r>
      <w:r w:rsidR="001875D4" w:rsidRPr="001875D4">
        <w:rPr>
          <w:lang w:val="es-UY"/>
        </w:rPr>
        <w:t>Aumentar el nivel de producción y disfrute de los bienes y servicios culturales por parte de los ciudadanos, en todo el territorio nacional, protegiendo y promoviendo el desarrollo de los derechos culturales, la calidad y la diversidad cultural</w:t>
      </w:r>
      <w:r w:rsidR="001875D4">
        <w:rPr>
          <w:lang w:val="es-UY"/>
        </w:rPr>
        <w:t>.</w:t>
      </w:r>
    </w:p>
    <w:p w:rsidR="00F6058C" w:rsidRDefault="001875D4" w:rsidP="00F6058C">
      <w:pPr>
        <w:pStyle w:val="Textoindependiente"/>
        <w:numPr>
          <w:ilvl w:val="0"/>
          <w:numId w:val="8"/>
        </w:numPr>
        <w:spacing w:line="360" w:lineRule="auto"/>
        <w:jc w:val="both"/>
        <w:rPr>
          <w:lang w:val="es-UY"/>
        </w:rPr>
      </w:pPr>
      <w:r w:rsidRPr="00F6058C">
        <w:rPr>
          <w:lang w:val="es-UY"/>
        </w:rPr>
        <w:t>Institucionalidad Cultural:</w:t>
      </w:r>
      <w:r w:rsidR="000A1A29" w:rsidRPr="00F6058C">
        <w:rPr>
          <w:lang w:val="es-UY"/>
        </w:rPr>
        <w:t xml:space="preserve"> Contribuir al desarrollo, a la preservación y a la difusión del acervo cultural de las instituciones culturales públicas y privadas, así como el estímulo de la interacción público-privado”</w:t>
      </w:r>
      <w:r w:rsidR="007C27EB">
        <w:rPr>
          <w:rStyle w:val="Refdenotaalpie"/>
          <w:lang w:val="es-UY"/>
        </w:rPr>
        <w:footnoteReference w:id="4"/>
      </w:r>
    </w:p>
    <w:p w:rsidR="00A82A77" w:rsidRDefault="00A82A77" w:rsidP="00F6058C">
      <w:pPr>
        <w:pStyle w:val="Textoindependiente"/>
        <w:jc w:val="center"/>
        <w:rPr>
          <w:lang w:val="es-UY"/>
        </w:rPr>
      </w:pPr>
    </w:p>
    <w:p w:rsidR="00A82A77" w:rsidRDefault="00A82A77" w:rsidP="00F6058C">
      <w:pPr>
        <w:pStyle w:val="Textoindependiente"/>
        <w:jc w:val="center"/>
        <w:rPr>
          <w:lang w:val="es-UY"/>
        </w:rPr>
      </w:pPr>
    </w:p>
    <w:p w:rsidR="00A82A77" w:rsidRDefault="00A82A77" w:rsidP="00F6058C">
      <w:pPr>
        <w:pStyle w:val="Textoindependiente"/>
        <w:jc w:val="center"/>
        <w:rPr>
          <w:lang w:val="es-UY"/>
        </w:rPr>
      </w:pPr>
    </w:p>
    <w:p w:rsidR="00A82A77" w:rsidRDefault="00A82A77" w:rsidP="00F6058C">
      <w:pPr>
        <w:pStyle w:val="Textoindependiente"/>
        <w:jc w:val="center"/>
        <w:rPr>
          <w:lang w:val="es-UY"/>
        </w:rPr>
      </w:pPr>
    </w:p>
    <w:p w:rsidR="00A82A77" w:rsidRDefault="00A82A77" w:rsidP="00F6058C">
      <w:pPr>
        <w:pStyle w:val="Textoindependiente"/>
        <w:jc w:val="center"/>
        <w:rPr>
          <w:lang w:val="es-UY"/>
        </w:rPr>
      </w:pPr>
    </w:p>
    <w:p w:rsidR="00A82A77" w:rsidRDefault="00A82A77" w:rsidP="00F6058C">
      <w:pPr>
        <w:pStyle w:val="Textoindependiente"/>
        <w:jc w:val="center"/>
        <w:rPr>
          <w:lang w:val="es-UY"/>
        </w:rPr>
      </w:pPr>
    </w:p>
    <w:p w:rsidR="00A82A77" w:rsidRPr="00A82A77" w:rsidRDefault="00A82A77" w:rsidP="00A82A77">
      <w:pPr>
        <w:pStyle w:val="Descripcin"/>
        <w:keepNext/>
        <w:jc w:val="center"/>
        <w:rPr>
          <w:sz w:val="22"/>
          <w:szCs w:val="22"/>
        </w:rPr>
      </w:pPr>
      <w:r w:rsidRPr="00A82A77">
        <w:rPr>
          <w:sz w:val="22"/>
          <w:szCs w:val="22"/>
        </w:rPr>
        <w:t xml:space="preserve">Ilustración </w:t>
      </w:r>
      <w:r w:rsidRPr="00A82A77">
        <w:rPr>
          <w:sz w:val="22"/>
          <w:szCs w:val="22"/>
        </w:rPr>
        <w:fldChar w:fldCharType="begin"/>
      </w:r>
      <w:r w:rsidRPr="00A82A77">
        <w:rPr>
          <w:sz w:val="22"/>
          <w:szCs w:val="22"/>
        </w:rPr>
        <w:instrText xml:space="preserve"> SEQ Ilustración \* ARABIC </w:instrText>
      </w:r>
      <w:r w:rsidRPr="00A82A77">
        <w:rPr>
          <w:sz w:val="22"/>
          <w:szCs w:val="22"/>
        </w:rPr>
        <w:fldChar w:fldCharType="separate"/>
      </w:r>
      <w:r w:rsidRPr="00A82A77">
        <w:rPr>
          <w:noProof/>
          <w:sz w:val="22"/>
          <w:szCs w:val="22"/>
        </w:rPr>
        <w:t>2</w:t>
      </w:r>
      <w:r w:rsidRPr="00A82A77">
        <w:rPr>
          <w:sz w:val="22"/>
          <w:szCs w:val="22"/>
        </w:rPr>
        <w:fldChar w:fldCharType="end"/>
      </w:r>
      <w:r w:rsidRPr="00A82A77">
        <w:rPr>
          <w:sz w:val="22"/>
          <w:szCs w:val="22"/>
        </w:rPr>
        <w:t xml:space="preserve"> </w:t>
      </w:r>
      <w:r w:rsidRPr="00A82A77">
        <w:rPr>
          <w:i w:val="0"/>
          <w:sz w:val="22"/>
          <w:szCs w:val="22"/>
        </w:rPr>
        <w:t>Asignación presupuestal por programa</w:t>
      </w:r>
    </w:p>
    <w:p w:rsidR="00A82A77" w:rsidRDefault="00F6058C" w:rsidP="0095778E">
      <w:pPr>
        <w:pStyle w:val="Textoindependiente"/>
        <w:keepNext/>
        <w:jc w:val="center"/>
      </w:pPr>
      <w:r w:rsidRPr="00A82A77">
        <w:rPr>
          <w:noProof/>
          <w:lang w:val="es-UY" w:eastAsia="es-UY"/>
        </w:rPr>
        <w:drawing>
          <wp:inline distT="0" distB="0" distL="0" distR="0" wp14:anchorId="3AE55F03" wp14:editId="0C7AD69A">
            <wp:extent cx="3395980" cy="2289842"/>
            <wp:effectExtent l="38100" t="38100" r="13970" b="15240"/>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3461841" cy="2334251"/>
                    </a:xfrm>
                    <a:prstGeom prst="rect">
                      <a:avLst/>
                    </a:prstGeom>
                    <a:noFill/>
                    <a:ln w="9525">
                      <a:noFill/>
                      <a:miter lim="800000"/>
                      <a:headEnd/>
                      <a:tailEnd/>
                    </a:ln>
                    <a:effectLst>
                      <a:glow rad="25400">
                        <a:schemeClr val="tx1"/>
                      </a:glow>
                      <a:softEdge rad="0"/>
                    </a:effectLst>
                  </pic:spPr>
                </pic:pic>
              </a:graphicData>
            </a:graphic>
          </wp:inline>
        </w:drawing>
      </w:r>
    </w:p>
    <w:p w:rsidR="00F6058C" w:rsidRDefault="00F6058C" w:rsidP="0095778E">
      <w:pPr>
        <w:pStyle w:val="Textoindependiente"/>
        <w:spacing w:after="360"/>
        <w:jc w:val="center"/>
        <w:rPr>
          <w:lang w:val="es-UY"/>
        </w:rPr>
      </w:pPr>
      <w:r>
        <w:rPr>
          <w:sz w:val="16"/>
          <w:szCs w:val="16"/>
        </w:rPr>
        <w:t xml:space="preserve">Imagen extraída de: </w:t>
      </w:r>
      <w:r w:rsidRPr="003E7634">
        <w:rPr>
          <w:sz w:val="16"/>
          <w:szCs w:val="16"/>
        </w:rPr>
        <w:t>https://transparenciapresupuestaria.opp.gub.uy/inicio/presupuesto-nacional/a-d%C3%B3nde-van-nuestros-impuestos</w:t>
      </w:r>
    </w:p>
    <w:p w:rsidR="007C27EB" w:rsidRDefault="001875D4" w:rsidP="007C27EB">
      <w:pPr>
        <w:pStyle w:val="Textoindependiente"/>
        <w:spacing w:line="360" w:lineRule="auto"/>
        <w:jc w:val="both"/>
        <w:rPr>
          <w:lang w:val="es-UY"/>
        </w:rPr>
      </w:pPr>
      <w:r>
        <w:rPr>
          <w:lang w:val="es-UY"/>
        </w:rPr>
        <w:t xml:space="preserve">Esta </w:t>
      </w:r>
      <w:r w:rsidR="00E33525">
        <w:rPr>
          <w:lang w:val="es-UY"/>
        </w:rPr>
        <w:t>primera</w:t>
      </w:r>
      <w:r>
        <w:rPr>
          <w:lang w:val="es-UY"/>
        </w:rPr>
        <w:t xml:space="preserve"> perspectiva tiene la ventaja de darnos información sobre áreas que trascienden a la institucionalidad específica </w:t>
      </w:r>
      <w:r w:rsidR="007C27EB">
        <w:rPr>
          <w:lang w:val="es-UY"/>
        </w:rPr>
        <w:t xml:space="preserve">en tal o cual materia. </w:t>
      </w:r>
      <w:r w:rsidR="00CD1F2C">
        <w:rPr>
          <w:lang w:val="es-UY"/>
        </w:rPr>
        <w:t xml:space="preserve">El punto más importante que nos muestran los datos de </w:t>
      </w:r>
      <w:r w:rsidR="00E33525">
        <w:rPr>
          <w:lang w:val="es-UY"/>
        </w:rPr>
        <w:t xml:space="preserve">esta área programática es que promedialmente, entre 2011 y 2018 que es el período en el que funciona esta perspectiva de asignación presupuestal, </w:t>
      </w:r>
      <w:r w:rsidR="007C27EB">
        <w:rPr>
          <w:lang w:val="es-UY"/>
        </w:rPr>
        <w:t xml:space="preserve">el </w:t>
      </w:r>
      <w:r w:rsidR="00E33525" w:rsidRPr="00E33525">
        <w:rPr>
          <w:lang w:val="es-UY"/>
        </w:rPr>
        <w:t>99,3</w:t>
      </w:r>
      <w:r w:rsidR="007C27EB" w:rsidRPr="00E33525">
        <w:rPr>
          <w:lang w:val="es-UY"/>
        </w:rPr>
        <w:t>%</w:t>
      </w:r>
      <w:r w:rsidR="00E33525">
        <w:rPr>
          <w:lang w:val="es-UY"/>
        </w:rPr>
        <w:t xml:space="preserve"> del presupuesto asignado a</w:t>
      </w:r>
      <w:r w:rsidR="007C27EB">
        <w:rPr>
          <w:lang w:val="es-UY"/>
        </w:rPr>
        <w:t xml:space="preserve"> estos dos programas </w:t>
      </w:r>
      <w:r w:rsidR="00E33525">
        <w:rPr>
          <w:lang w:val="es-UY"/>
        </w:rPr>
        <w:t xml:space="preserve">que  refieren a la cultura – Bienes y Servicios Culturales e Institucionalidad Cultural- </w:t>
      </w:r>
      <w:r w:rsidR="007C27EB">
        <w:rPr>
          <w:lang w:val="es-UY"/>
        </w:rPr>
        <w:t>se los lleva el Ministerio de Educación y Cultura (MEC)</w:t>
      </w:r>
      <w:r w:rsidR="00E33525">
        <w:rPr>
          <w:rStyle w:val="Refdenotaalpie"/>
          <w:lang w:val="es-UY"/>
        </w:rPr>
        <w:footnoteReference w:id="5"/>
      </w:r>
      <w:r w:rsidR="00E33525">
        <w:rPr>
          <w:lang w:val="es-UY"/>
        </w:rPr>
        <w:t>, en tanto el 0,07% de promedio restante le es asignado al Ministerio de Transporte y Obras Públicas (MTOP) solo en el programa de Bienes y Servicios Culturales</w:t>
      </w:r>
      <w:r w:rsidR="007C27EB">
        <w:rPr>
          <w:lang w:val="es-UY"/>
        </w:rPr>
        <w:t xml:space="preserve">. </w:t>
      </w:r>
      <w:r w:rsidR="00CD1F2C">
        <w:rPr>
          <w:lang w:val="es-UY"/>
        </w:rPr>
        <w:t xml:space="preserve">Aquí se confirma algo que por obvio en cuanto a misión y cometidos, pocas veces se justifica desde lo presupuestal, el MEC es el órgano rector en materia cultural. </w:t>
      </w:r>
      <w:r w:rsidR="007C27EB">
        <w:rPr>
          <w:lang w:val="es-UY"/>
        </w:rPr>
        <w:t xml:space="preserve">Sin embargo, el presupuesto para el accionar </w:t>
      </w:r>
      <w:r w:rsidR="00CD1F2C">
        <w:rPr>
          <w:lang w:val="es-UY"/>
        </w:rPr>
        <w:t xml:space="preserve">en materia cultural </w:t>
      </w:r>
      <w:r w:rsidR="007C27EB">
        <w:rPr>
          <w:lang w:val="es-UY"/>
        </w:rPr>
        <w:t>es mucho más grande que lo que se dispone en estos dos programas, por lo que es necesario consider</w:t>
      </w:r>
      <w:r w:rsidR="00E33525">
        <w:rPr>
          <w:lang w:val="es-UY"/>
        </w:rPr>
        <w:t>arlo desde la otra perspectiva.</w:t>
      </w:r>
    </w:p>
    <w:p w:rsidR="00B928B6" w:rsidRDefault="00E33525" w:rsidP="00D130A4">
      <w:pPr>
        <w:pStyle w:val="Textoindependiente"/>
        <w:spacing w:line="360" w:lineRule="auto"/>
        <w:jc w:val="both"/>
        <w:rPr>
          <w:lang w:val="es-UY"/>
        </w:rPr>
      </w:pPr>
      <w:r>
        <w:rPr>
          <w:lang w:val="es-UY"/>
        </w:rPr>
        <w:t xml:space="preserve">La segunda forma de ver </w:t>
      </w:r>
      <w:r w:rsidR="008A6D79">
        <w:rPr>
          <w:lang w:val="es-UY"/>
        </w:rPr>
        <w:t xml:space="preserve">los datos financieros del </w:t>
      </w:r>
      <w:r w:rsidR="00B928B6" w:rsidRPr="00B928B6">
        <w:rPr>
          <w:lang w:val="es-UY"/>
        </w:rPr>
        <w:t>Presupuesto Nacional</w:t>
      </w:r>
      <w:r w:rsidR="000A7FF3">
        <w:rPr>
          <w:lang w:val="es-UY"/>
        </w:rPr>
        <w:t xml:space="preserve">, es conocida como la </w:t>
      </w:r>
      <w:r w:rsidR="000A7FF3" w:rsidRPr="000A7FF3">
        <w:rPr>
          <w:i/>
          <w:lang w:val="es-UY"/>
        </w:rPr>
        <w:t>p</w:t>
      </w:r>
      <w:r w:rsidR="000A7FF3">
        <w:rPr>
          <w:i/>
          <w:lang w:val="es-UY"/>
        </w:rPr>
        <w:t>erspectiva i</w:t>
      </w:r>
      <w:r w:rsidR="008A6D79" w:rsidRPr="000A7FF3">
        <w:rPr>
          <w:i/>
          <w:lang w:val="es-UY"/>
        </w:rPr>
        <w:t>nstitucional</w:t>
      </w:r>
      <w:r w:rsidR="008A6D79">
        <w:rPr>
          <w:lang w:val="es-UY"/>
        </w:rPr>
        <w:t xml:space="preserve">. </w:t>
      </w:r>
      <w:r w:rsidR="000A7FF3">
        <w:rPr>
          <w:lang w:val="es-UY"/>
        </w:rPr>
        <w:t>“</w:t>
      </w:r>
      <w:r w:rsidR="008A6D79">
        <w:rPr>
          <w:lang w:val="es-UY"/>
        </w:rPr>
        <w:t>Según ella el presupuesto</w:t>
      </w:r>
      <w:r w:rsidR="00B928B6" w:rsidRPr="00B928B6">
        <w:rPr>
          <w:lang w:val="es-UY"/>
        </w:rPr>
        <w:t xml:space="preserve"> se asigna, en un primer nivel, por categorías llamadas Incisos. La mayoría de los Incisos corresponde a organismos, como ministerios o agencias del gobierno nacional, así como al Poder Judicial y organismos de contralor electoral, financiero y administrativo.</w:t>
      </w:r>
      <w:r w:rsidR="008A6D79">
        <w:rPr>
          <w:lang w:val="es-UY"/>
        </w:rPr>
        <w:t xml:space="preserve"> </w:t>
      </w:r>
      <w:r w:rsidR="00B928B6" w:rsidRPr="00B928B6">
        <w:rPr>
          <w:lang w:val="es-UY"/>
        </w:rPr>
        <w:t>El segundo nivel de esta clasificación lo representan las Unidades Ejecutoras. Éstas son subunidades organizativas cuyo jerarca tiene potestades de gestión de recursos financieros (ordenador del gasto)</w:t>
      </w:r>
      <w:r w:rsidR="000A7FF3">
        <w:rPr>
          <w:lang w:val="es-UY"/>
        </w:rPr>
        <w:t>”</w:t>
      </w:r>
      <w:r w:rsidR="000A7FF3">
        <w:rPr>
          <w:rStyle w:val="Refdenotaalpie"/>
          <w:lang w:val="es-UY"/>
        </w:rPr>
        <w:footnoteReference w:id="6"/>
      </w:r>
      <w:r w:rsidR="00B928B6" w:rsidRPr="00B928B6">
        <w:rPr>
          <w:lang w:val="es-UY"/>
        </w:rPr>
        <w:t>.</w:t>
      </w:r>
    </w:p>
    <w:p w:rsidR="000A7FF3" w:rsidRDefault="000A7FF3" w:rsidP="000A7FF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Las instituciones, correspondientes a Unidades Ejecutoras dentro del mencionado ministerio que se han elegido para este trabajo son: </w:t>
      </w:r>
    </w:p>
    <w:p w:rsidR="000A7FF3" w:rsidRDefault="000A7FF3" w:rsidP="000A7FF3">
      <w:pPr>
        <w:pStyle w:val="Prrafodelista"/>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Di</w:t>
      </w:r>
      <w:r w:rsidR="00130573">
        <w:rPr>
          <w:rFonts w:ascii="Times New Roman" w:hAnsi="Times New Roman" w:cs="Times New Roman"/>
          <w:sz w:val="24"/>
          <w:szCs w:val="24"/>
        </w:rPr>
        <w:t>rección General de Secretaría (</w:t>
      </w:r>
      <w:r w:rsidR="0077317A">
        <w:rPr>
          <w:rFonts w:ascii="Times New Roman" w:hAnsi="Times New Roman" w:cs="Times New Roman"/>
          <w:sz w:val="24"/>
          <w:szCs w:val="24"/>
        </w:rPr>
        <w:t>0</w:t>
      </w:r>
      <w:r>
        <w:rPr>
          <w:rFonts w:ascii="Times New Roman" w:hAnsi="Times New Roman" w:cs="Times New Roman"/>
          <w:sz w:val="24"/>
          <w:szCs w:val="24"/>
        </w:rPr>
        <w:t>1)</w:t>
      </w:r>
    </w:p>
    <w:p w:rsidR="000A7FF3" w:rsidRDefault="000A7FF3" w:rsidP="000A7FF3">
      <w:pPr>
        <w:pStyle w:val="Prrafodelista"/>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Dirección Nacional de Cultura (03)</w:t>
      </w:r>
    </w:p>
    <w:p w:rsidR="000A7FF3" w:rsidRDefault="000A7FF3" w:rsidP="000A7FF3">
      <w:pPr>
        <w:pStyle w:val="Prrafodelista"/>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Museo Histórico Nacional (04)</w:t>
      </w:r>
    </w:p>
    <w:p w:rsidR="000A7FF3" w:rsidRDefault="000A7FF3" w:rsidP="000A7FF3">
      <w:pPr>
        <w:pStyle w:val="Prrafodelista"/>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Museo Nacional de Historia Natural y Antropología</w:t>
      </w:r>
      <w:r w:rsidR="007B309C">
        <w:rPr>
          <w:rFonts w:ascii="Times New Roman" w:hAnsi="Times New Roman" w:cs="Times New Roman"/>
          <w:sz w:val="24"/>
          <w:szCs w:val="24"/>
        </w:rPr>
        <w:t xml:space="preserve"> (</w:t>
      </w:r>
      <w:r w:rsidR="00130573">
        <w:rPr>
          <w:rFonts w:ascii="Times New Roman" w:hAnsi="Times New Roman" w:cs="Times New Roman"/>
          <w:sz w:val="24"/>
          <w:szCs w:val="24"/>
        </w:rPr>
        <w:t>0</w:t>
      </w:r>
      <w:r>
        <w:rPr>
          <w:rFonts w:ascii="Times New Roman" w:hAnsi="Times New Roman" w:cs="Times New Roman"/>
          <w:sz w:val="24"/>
          <w:szCs w:val="24"/>
        </w:rPr>
        <w:t>6)</w:t>
      </w:r>
    </w:p>
    <w:p w:rsidR="000A7FF3" w:rsidRDefault="000A7FF3" w:rsidP="000A7FF3">
      <w:pPr>
        <w:pStyle w:val="Prrafodelista"/>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Archivo General de la Nación (07)</w:t>
      </w:r>
    </w:p>
    <w:p w:rsidR="000A7FF3" w:rsidRDefault="000A7FF3" w:rsidP="000A7FF3">
      <w:pPr>
        <w:pStyle w:val="Prrafodelista"/>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Comisión del Patrimonio Cultural de la Nación (08)</w:t>
      </w:r>
    </w:p>
    <w:p w:rsidR="000A7FF3" w:rsidRDefault="000A7FF3" w:rsidP="000A7FF3">
      <w:pPr>
        <w:pStyle w:val="Prrafodelista"/>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Museo Nacional de Artes Visuales (10)</w:t>
      </w:r>
    </w:p>
    <w:p w:rsidR="000A7FF3" w:rsidRDefault="000A7FF3" w:rsidP="000A7FF3">
      <w:pPr>
        <w:pStyle w:val="Prrafodelista"/>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Dirección General de la Biblioteca Nacional (15)</w:t>
      </w:r>
    </w:p>
    <w:p w:rsidR="000A7FF3" w:rsidRDefault="000A7FF3" w:rsidP="000A7FF3">
      <w:pPr>
        <w:pStyle w:val="Prrafodelista"/>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Servicio Oficial de Difusión, Radiotelevisión y Espectáculos (16)</w:t>
      </w:r>
    </w:p>
    <w:p w:rsidR="000A7FF3" w:rsidRDefault="000A7FF3" w:rsidP="000A7FF3">
      <w:pPr>
        <w:pStyle w:val="Prrafodelista"/>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Servicio de Comunicación Audiovisual Nacional (24)</w:t>
      </w:r>
      <w:r>
        <w:rPr>
          <w:rStyle w:val="Refdenotaalpie"/>
          <w:rFonts w:ascii="Times New Roman" w:hAnsi="Times New Roman" w:cs="Times New Roman"/>
          <w:sz w:val="24"/>
          <w:szCs w:val="24"/>
        </w:rPr>
        <w:footnoteReference w:id="7"/>
      </w:r>
    </w:p>
    <w:p w:rsidR="006E39A8" w:rsidRDefault="000A7FF3" w:rsidP="000A7FF3">
      <w:pPr>
        <w:spacing w:line="360" w:lineRule="auto"/>
        <w:jc w:val="both"/>
        <w:rPr>
          <w:rFonts w:ascii="Times New Roman" w:hAnsi="Times New Roman" w:cs="Times New Roman"/>
          <w:sz w:val="24"/>
          <w:szCs w:val="24"/>
        </w:rPr>
      </w:pPr>
      <w:r>
        <w:rPr>
          <w:rFonts w:ascii="Times New Roman" w:hAnsi="Times New Roman" w:cs="Times New Roman"/>
          <w:sz w:val="24"/>
          <w:szCs w:val="24"/>
        </w:rPr>
        <w:t>Como todo recorte de la realidad es arbitrario y por fuera de él queda una infinidad de posibilidades. Así por ejemplo han quedado fuera de este análisis aspectos como las bandas militares, los coros que funcionan en algunos ministerios, los bachilleratos artísticos o los distintos tipos de talleres que implican lo artístico-cultural y que existen entre las acciones que llevan adelante las diversas instituciones públicas de los organismos implicados en el Presupuesto Nacional. La imposibilidad de llegar a esos niveles de desagregación en los datos, para lo cual habría que hacer casi una tarea de arqueología, también nos habilita una ventaja comparativa, la de intentar centrar el foco en aquellos espacios que se dedican</w:t>
      </w:r>
      <w:r w:rsidR="006057FF">
        <w:rPr>
          <w:rFonts w:ascii="Times New Roman" w:hAnsi="Times New Roman" w:cs="Times New Roman"/>
          <w:sz w:val="24"/>
          <w:szCs w:val="24"/>
        </w:rPr>
        <w:t xml:space="preserve"> específicamente a la labor</w:t>
      </w:r>
      <w:r>
        <w:rPr>
          <w:rFonts w:ascii="Times New Roman" w:hAnsi="Times New Roman" w:cs="Times New Roman"/>
          <w:sz w:val="24"/>
          <w:szCs w:val="24"/>
        </w:rPr>
        <w:t xml:space="preserve"> de las políticas culturales en la órbita estatal del Poder Ejecutivo</w:t>
      </w:r>
      <w:r>
        <w:rPr>
          <w:rStyle w:val="Refdenotaalpie"/>
          <w:rFonts w:ascii="Times New Roman" w:hAnsi="Times New Roman" w:cs="Times New Roman"/>
          <w:sz w:val="24"/>
          <w:szCs w:val="24"/>
        </w:rPr>
        <w:footnoteReference w:id="8"/>
      </w:r>
    </w:p>
    <w:p w:rsidR="006E39A8" w:rsidRDefault="006E39A8" w:rsidP="000A7FF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Esta perspectiva nos permitirá </w:t>
      </w:r>
      <w:r w:rsidR="007B309C">
        <w:rPr>
          <w:rFonts w:ascii="Times New Roman" w:hAnsi="Times New Roman" w:cs="Times New Roman"/>
          <w:sz w:val="24"/>
          <w:szCs w:val="24"/>
        </w:rPr>
        <w:t xml:space="preserve">ver </w:t>
      </w:r>
      <w:r>
        <w:rPr>
          <w:rFonts w:ascii="Times New Roman" w:hAnsi="Times New Roman" w:cs="Times New Roman"/>
          <w:sz w:val="24"/>
          <w:szCs w:val="24"/>
        </w:rPr>
        <w:t xml:space="preserve">con mayor fidelidad la relación de la cultura con el Presupuesto Nacional, en tanto nos habilita a mirar cómo ha sido la asignación y ejecución del mismo por parte de cada </w:t>
      </w:r>
      <w:r w:rsidR="007B309C">
        <w:rPr>
          <w:rFonts w:ascii="Times New Roman" w:hAnsi="Times New Roman" w:cs="Times New Roman"/>
          <w:sz w:val="24"/>
          <w:szCs w:val="24"/>
        </w:rPr>
        <w:t>UE</w:t>
      </w:r>
      <w:r>
        <w:rPr>
          <w:rFonts w:ascii="Times New Roman" w:hAnsi="Times New Roman" w:cs="Times New Roman"/>
          <w:sz w:val="24"/>
          <w:szCs w:val="24"/>
        </w:rPr>
        <w:t xml:space="preserve">, más allá del Área Programática </w:t>
      </w:r>
      <w:r w:rsidR="007B309C">
        <w:rPr>
          <w:rFonts w:ascii="Times New Roman" w:hAnsi="Times New Roman" w:cs="Times New Roman"/>
          <w:sz w:val="24"/>
          <w:szCs w:val="24"/>
        </w:rPr>
        <w:t xml:space="preserve">y los programas en particular. Esto es así en tanto muchas de esas UE llevan adelante políticas públicas en cultura y acciones que les implican más de un área programática ya que por </w:t>
      </w:r>
      <w:r w:rsidR="007B309C">
        <w:rPr>
          <w:rFonts w:ascii="Times New Roman" w:hAnsi="Times New Roman" w:cs="Times New Roman"/>
          <w:sz w:val="24"/>
          <w:szCs w:val="24"/>
        </w:rPr>
        <w:lastRenderedPageBreak/>
        <w:t xml:space="preserve">ejemplo, muchas de las acciones que esas UE desarrollan </w:t>
      </w:r>
      <w:r w:rsidR="00091826">
        <w:rPr>
          <w:rFonts w:ascii="Times New Roman" w:hAnsi="Times New Roman" w:cs="Times New Roman"/>
          <w:sz w:val="24"/>
          <w:szCs w:val="24"/>
        </w:rPr>
        <w:t>implican el cruce de presupuestos de dos y tres áreas programáticas</w:t>
      </w:r>
      <w:r w:rsidR="00091826">
        <w:rPr>
          <w:rStyle w:val="Refdenotaalpie"/>
          <w:rFonts w:ascii="Times New Roman" w:hAnsi="Times New Roman" w:cs="Times New Roman"/>
          <w:sz w:val="24"/>
          <w:szCs w:val="24"/>
        </w:rPr>
        <w:footnoteReference w:id="9"/>
      </w:r>
    </w:p>
    <w:p w:rsidR="003D0602" w:rsidRDefault="002E5D46" w:rsidP="000A7FF3">
      <w:pPr>
        <w:pStyle w:val="Textoindependiente"/>
        <w:spacing w:line="360" w:lineRule="auto"/>
        <w:jc w:val="both"/>
      </w:pPr>
      <w:r>
        <w:t xml:space="preserve">Como fue dicho en la introducción, </w:t>
      </w:r>
      <w:r w:rsidR="003D0602">
        <w:t>si bien existen datos de los tres tipos de gasto –funcionamiento, inversión y personal- hasta 1961, la información solo llega al nivel de desagregación de cada Inciso (el MEC en este caso). Sin embargo, hasta 1999 sí existen datos de estos tres tipos de gasto desagregados para cada Unidad Ejecutora, y como lo que se propone este trabajo es vincular el presupuesto a las políticas públicas en cultura tal cual fueron definidas, esta información es la que utilizaremos, en tanto nos dice cuánto fue asignado y ejecutado presupuestalmente por cada Unidad Ejecutora vinculada al desarrollo de esas políticas.</w:t>
      </w:r>
    </w:p>
    <w:p w:rsidR="000A7FF3" w:rsidRDefault="003D0602" w:rsidP="000A7FF3">
      <w:pPr>
        <w:pStyle w:val="Textoindependiente"/>
        <w:spacing w:line="360" w:lineRule="auto"/>
        <w:jc w:val="both"/>
      </w:pPr>
      <w:r>
        <w:t xml:space="preserve">Sumado a esto, </w:t>
      </w:r>
      <w:r w:rsidR="000A7FF3">
        <w:t>un corte que permita ver la evolución y cambios presupuestales en los últimos 20 años ya salta a los ojos como un ejercicio más que interesante, especialmente cuando comprobamos que el punto de partida es el año de inicio de una de las crisis económicas m</w:t>
      </w:r>
      <w:r w:rsidR="00770607">
        <w:t>ás fuertes que sacudió al país,</w:t>
      </w:r>
      <w:r w:rsidR="000A7FF3">
        <w:t xml:space="preserve"> abarca el último</w:t>
      </w:r>
      <w:r w:rsidR="00770607">
        <w:t xml:space="preserve"> período de</w:t>
      </w:r>
      <w:r w:rsidR="000A7FF3">
        <w:t xml:space="preserve"> gobierno del Partido Colorado y los tres del Frente Amplio en el poder.</w:t>
      </w:r>
    </w:p>
    <w:p w:rsidR="00357E6F" w:rsidRDefault="00A82A77" w:rsidP="0095778E">
      <w:pPr>
        <w:pStyle w:val="Textoindependiente"/>
        <w:spacing w:line="360" w:lineRule="auto"/>
        <w:jc w:val="both"/>
      </w:pPr>
      <w:r>
        <w:t xml:space="preserve">Las siguientes páginas serán un análisis descriptivo </w:t>
      </w:r>
      <w:r w:rsidR="0095778E">
        <w:t xml:space="preserve">del lugar que ocupa la cultura en el Presupuesto Nacional a través de un repaso en </w:t>
      </w:r>
      <w:r w:rsidR="0095778E">
        <w:t xml:space="preserve">la evolución de la asignación y ejecución presupuestal en cultura según la </w:t>
      </w:r>
      <w:r w:rsidR="0095778E" w:rsidRPr="0095778E">
        <w:rPr>
          <w:i/>
        </w:rPr>
        <w:t>perspectiva institucional</w:t>
      </w:r>
      <w:r w:rsidR="0095778E">
        <w:t xml:space="preserve">, tomando las UE mencionadas más arriba para delimitar el campo de estudio. </w:t>
      </w:r>
    </w:p>
    <w:p w:rsidR="0095778E" w:rsidRDefault="0095778E" w:rsidP="0095778E">
      <w:pPr>
        <w:pStyle w:val="Textoindependiente"/>
        <w:spacing w:line="360" w:lineRule="auto"/>
        <w:jc w:val="both"/>
      </w:pPr>
    </w:p>
    <w:p w:rsidR="00E97F38" w:rsidRDefault="00E97F38" w:rsidP="003763DB">
      <w:pPr>
        <w:spacing w:after="240" w:line="360" w:lineRule="auto"/>
        <w:rPr>
          <w:rFonts w:ascii="Times New Roman" w:hAnsi="Times New Roman" w:cs="Times New Roman"/>
          <w:sz w:val="24"/>
          <w:szCs w:val="24"/>
          <w:u w:val="single"/>
        </w:rPr>
      </w:pPr>
      <w:r>
        <w:rPr>
          <w:rFonts w:ascii="Times New Roman" w:hAnsi="Times New Roman" w:cs="Times New Roman"/>
          <w:sz w:val="24"/>
          <w:szCs w:val="24"/>
          <w:u w:val="single"/>
        </w:rPr>
        <w:t>La asignación Cultura en relación al Producto Interno Bruto</w:t>
      </w:r>
    </w:p>
    <w:p w:rsidR="00E97F38" w:rsidRDefault="00416B00" w:rsidP="00416B00">
      <w:pPr>
        <w:spacing w:line="360" w:lineRule="auto"/>
        <w:jc w:val="center"/>
        <w:rPr>
          <w:rFonts w:ascii="Times New Roman" w:hAnsi="Times New Roman" w:cs="Times New Roman"/>
          <w:sz w:val="16"/>
          <w:szCs w:val="16"/>
        </w:rPr>
      </w:pPr>
      <w:r>
        <w:rPr>
          <w:noProof/>
          <w:lang w:val="es-UY" w:eastAsia="es-UY"/>
        </w:rPr>
        <w:drawing>
          <wp:inline distT="0" distB="0" distL="0" distR="0" wp14:anchorId="3B3D3851" wp14:editId="2680BF1C">
            <wp:extent cx="6631321" cy="2743200"/>
            <wp:effectExtent l="0" t="0" r="0" b="0"/>
            <wp:docPr id="1"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357E6F" w:rsidRDefault="00E97F38" w:rsidP="00A526E2">
      <w:pPr>
        <w:spacing w:line="360" w:lineRule="auto"/>
        <w:jc w:val="center"/>
        <w:rPr>
          <w:rFonts w:ascii="Times New Roman" w:hAnsi="Times New Roman" w:cs="Times New Roman"/>
          <w:sz w:val="16"/>
          <w:szCs w:val="16"/>
        </w:rPr>
      </w:pPr>
      <w:r w:rsidRPr="002633AC">
        <w:rPr>
          <w:rFonts w:ascii="Times New Roman" w:hAnsi="Times New Roman" w:cs="Times New Roman"/>
          <w:sz w:val="16"/>
          <w:szCs w:val="16"/>
        </w:rPr>
        <w:t>Fuente: Elaboración propia con datos de AGEV y BCU</w:t>
      </w:r>
      <w:r w:rsidR="000C6EAC">
        <w:rPr>
          <w:rStyle w:val="Refdenotaalpie"/>
          <w:rFonts w:ascii="Times New Roman" w:hAnsi="Times New Roman" w:cs="Times New Roman"/>
          <w:sz w:val="16"/>
          <w:szCs w:val="16"/>
        </w:rPr>
        <w:footnoteReference w:id="10"/>
      </w:r>
    </w:p>
    <w:p w:rsidR="00E97F38" w:rsidRDefault="005449F5" w:rsidP="00E97F38">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Posiblemente lo primero que salte a la vista es el muy bajo porcentaje de asignación presupuestal para la cultura en relación al PIB a lo largo de toda la serie histórica que se propone. El a</w:t>
      </w:r>
      <w:r w:rsidR="00E210B6">
        <w:rPr>
          <w:rFonts w:ascii="Times New Roman" w:hAnsi="Times New Roman" w:cs="Times New Roman"/>
          <w:sz w:val="24"/>
          <w:szCs w:val="24"/>
        </w:rPr>
        <w:t>ño 2000 fue el mejor, aunque siquiera llegó a representar el 0,3% del PIB de ese añ</w:t>
      </w:r>
      <w:r w:rsidR="00017CA6">
        <w:rPr>
          <w:rFonts w:ascii="Times New Roman" w:hAnsi="Times New Roman" w:cs="Times New Roman"/>
          <w:sz w:val="24"/>
          <w:szCs w:val="24"/>
        </w:rPr>
        <w:t>o. S</w:t>
      </w:r>
      <w:r w:rsidR="00E210B6">
        <w:rPr>
          <w:rFonts w:ascii="Times New Roman" w:hAnsi="Times New Roman" w:cs="Times New Roman"/>
          <w:sz w:val="24"/>
          <w:szCs w:val="24"/>
        </w:rPr>
        <w:t xml:space="preserve">i a esto sumamos que aproximadamente </w:t>
      </w:r>
      <w:r w:rsidR="00E210B6">
        <w:rPr>
          <w:rFonts w:ascii="Times New Roman" w:hAnsi="Times New Roman" w:cs="Times New Roman"/>
          <w:sz w:val="24"/>
          <w:szCs w:val="24"/>
        </w:rPr>
        <w:lastRenderedPageBreak/>
        <w:t xml:space="preserve">desde el año 2002 la UNESCO recomienda que el presupuesto público en cultura sea del 1% del PIB, estos valores se hacen aún más bajos. </w:t>
      </w:r>
    </w:p>
    <w:p w:rsidR="00950F65" w:rsidRDefault="00950F65" w:rsidP="00E97F38">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Saliéndonos en parte de esta cuestión, que desde siempre ha sido un reclamo de los integrantes del sector cultural, llama la atención que existen tres momentos en el tiempo donde la asignación presupuestal es bastante mayor que en el resto, los años 1999 y 2000 son los de mayor asignación en relación al PIB, luego viene un periodo de baja hasta el 2005 donde encuentra su punto más bajo representando solo el 0,128% del PIB, un repunte que alcanza su pico más alto en el 2008 siendo el 0,222% y una baja que luego se transformó en </w:t>
      </w:r>
      <w:r w:rsidR="000B7319">
        <w:rPr>
          <w:rFonts w:ascii="Times New Roman" w:hAnsi="Times New Roman" w:cs="Times New Roman"/>
          <w:sz w:val="24"/>
          <w:szCs w:val="24"/>
        </w:rPr>
        <w:t xml:space="preserve">una especie de </w:t>
      </w:r>
      <w:r>
        <w:rPr>
          <w:rFonts w:ascii="Times New Roman" w:hAnsi="Times New Roman" w:cs="Times New Roman"/>
          <w:sz w:val="24"/>
          <w:szCs w:val="24"/>
        </w:rPr>
        <w:t>meseta entre los años 2009 y 2016 con valores</w:t>
      </w:r>
      <w:r w:rsidR="00416B00">
        <w:rPr>
          <w:rFonts w:ascii="Times New Roman" w:hAnsi="Times New Roman" w:cs="Times New Roman"/>
          <w:sz w:val="24"/>
          <w:szCs w:val="24"/>
        </w:rPr>
        <w:t xml:space="preserve"> que van entre el 0,170</w:t>
      </w:r>
      <w:r>
        <w:rPr>
          <w:rFonts w:ascii="Times New Roman" w:hAnsi="Times New Roman" w:cs="Times New Roman"/>
          <w:sz w:val="24"/>
          <w:szCs w:val="24"/>
        </w:rPr>
        <w:t xml:space="preserve">% </w:t>
      </w:r>
      <w:r w:rsidR="00416B00">
        <w:rPr>
          <w:rFonts w:ascii="Times New Roman" w:hAnsi="Times New Roman" w:cs="Times New Roman"/>
          <w:sz w:val="24"/>
          <w:szCs w:val="24"/>
        </w:rPr>
        <w:t xml:space="preserve">(año 2010) </w:t>
      </w:r>
      <w:r>
        <w:rPr>
          <w:rFonts w:ascii="Times New Roman" w:hAnsi="Times New Roman" w:cs="Times New Roman"/>
          <w:sz w:val="24"/>
          <w:szCs w:val="24"/>
        </w:rPr>
        <w:t xml:space="preserve">y el 0,202% como máximo (año 2012). </w:t>
      </w:r>
    </w:p>
    <w:p w:rsidR="006A09BA" w:rsidRDefault="000B7319" w:rsidP="00E97F38">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Otra cuestión que surge del gráfico es que c</w:t>
      </w:r>
      <w:r w:rsidR="00950F65">
        <w:rPr>
          <w:rFonts w:ascii="Times New Roman" w:hAnsi="Times New Roman" w:cs="Times New Roman"/>
          <w:sz w:val="24"/>
          <w:szCs w:val="24"/>
        </w:rPr>
        <w:t xml:space="preserve">on la crisis económica que afectó a la sociedad uruguaya en el 2002, era dable esperar una merma significativa en la asignación presupuestal en cultura -lo mismo sucedió con todos los </w:t>
      </w:r>
      <w:r w:rsidR="00416B00">
        <w:rPr>
          <w:rFonts w:ascii="Times New Roman" w:hAnsi="Times New Roman" w:cs="Times New Roman"/>
          <w:sz w:val="24"/>
          <w:szCs w:val="24"/>
        </w:rPr>
        <w:t>sectores</w:t>
      </w:r>
      <w:r w:rsidR="00950F65">
        <w:rPr>
          <w:rFonts w:ascii="Times New Roman" w:hAnsi="Times New Roman" w:cs="Times New Roman"/>
          <w:sz w:val="24"/>
          <w:szCs w:val="24"/>
        </w:rPr>
        <w:t>-. Sin embargo, llama más la aten</w:t>
      </w:r>
      <w:r w:rsidR="00416B00">
        <w:rPr>
          <w:rFonts w:ascii="Times New Roman" w:hAnsi="Times New Roman" w:cs="Times New Roman"/>
          <w:sz w:val="24"/>
          <w:szCs w:val="24"/>
        </w:rPr>
        <w:t xml:space="preserve">ción que entre el 2003 y el 2017 con </w:t>
      </w:r>
      <w:r w:rsidR="00932B79">
        <w:rPr>
          <w:rFonts w:ascii="Times New Roman" w:hAnsi="Times New Roman" w:cs="Times New Roman"/>
          <w:sz w:val="24"/>
          <w:szCs w:val="24"/>
        </w:rPr>
        <w:t>15 años de crecimiento del PIB que en</w:t>
      </w:r>
      <w:r w:rsidR="00416B00">
        <w:rPr>
          <w:rFonts w:ascii="Times New Roman" w:hAnsi="Times New Roman" w:cs="Times New Roman"/>
          <w:sz w:val="24"/>
          <w:szCs w:val="24"/>
        </w:rPr>
        <w:t xml:space="preserve"> promedio </w:t>
      </w:r>
      <w:r w:rsidR="00932B79">
        <w:rPr>
          <w:rFonts w:ascii="Times New Roman" w:hAnsi="Times New Roman" w:cs="Times New Roman"/>
          <w:sz w:val="24"/>
          <w:szCs w:val="24"/>
        </w:rPr>
        <w:t xml:space="preserve">es </w:t>
      </w:r>
      <w:r w:rsidR="00416B00">
        <w:rPr>
          <w:rFonts w:ascii="Times New Roman" w:hAnsi="Times New Roman" w:cs="Times New Roman"/>
          <w:sz w:val="24"/>
          <w:szCs w:val="24"/>
        </w:rPr>
        <w:t>de</w:t>
      </w:r>
      <w:r w:rsidR="00932B79">
        <w:rPr>
          <w:rFonts w:ascii="Times New Roman" w:hAnsi="Times New Roman" w:cs="Times New Roman"/>
          <w:sz w:val="24"/>
          <w:szCs w:val="24"/>
        </w:rPr>
        <w:t>l</w:t>
      </w:r>
      <w:r w:rsidR="00416B00">
        <w:rPr>
          <w:rFonts w:ascii="Times New Roman" w:hAnsi="Times New Roman" w:cs="Times New Roman"/>
          <w:sz w:val="24"/>
          <w:szCs w:val="24"/>
        </w:rPr>
        <w:t xml:space="preserve"> </w:t>
      </w:r>
      <w:r w:rsidR="00932B79">
        <w:rPr>
          <w:rFonts w:ascii="Times New Roman" w:hAnsi="Times New Roman" w:cs="Times New Roman"/>
          <w:sz w:val="24"/>
          <w:szCs w:val="24"/>
        </w:rPr>
        <w:t xml:space="preserve">4,34% la asignación presupuestal a la cultura haya tenido esas oscilaciones que además nunca alcanzaron los valores previos a la crisis económica ya mencionada. </w:t>
      </w:r>
      <w:r w:rsidR="00950F65">
        <w:rPr>
          <w:rFonts w:ascii="Times New Roman" w:hAnsi="Times New Roman" w:cs="Times New Roman"/>
          <w:sz w:val="24"/>
          <w:szCs w:val="24"/>
        </w:rPr>
        <w:t xml:space="preserve"> </w:t>
      </w:r>
    </w:p>
    <w:p w:rsidR="006A09BA" w:rsidRDefault="006A09BA" w:rsidP="00E97F38">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Yendo un poco más allá, la mirada complementaria y quizá más fina, es la del lugar que ocupa la asignación presupuestal a las UE especializadas en cultura en el Presupuesto Nacional. </w:t>
      </w:r>
    </w:p>
    <w:p w:rsidR="007E467C" w:rsidRDefault="007E467C" w:rsidP="00D130A4">
      <w:pPr>
        <w:spacing w:line="360" w:lineRule="auto"/>
        <w:jc w:val="both"/>
        <w:rPr>
          <w:rFonts w:ascii="Times New Roman" w:hAnsi="Times New Roman" w:cs="Times New Roman"/>
          <w:sz w:val="24"/>
          <w:szCs w:val="24"/>
        </w:rPr>
      </w:pPr>
      <w:r>
        <w:rPr>
          <w:noProof/>
          <w:lang w:val="es-UY" w:eastAsia="es-UY"/>
        </w:rPr>
        <w:drawing>
          <wp:inline distT="0" distB="0" distL="0" distR="0" wp14:anchorId="737770A1" wp14:editId="4828BB7C">
            <wp:extent cx="6608269" cy="3012141"/>
            <wp:effectExtent l="0" t="0" r="0" b="0"/>
            <wp:docPr id="9" name="Gráfico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7E467C" w:rsidRPr="006C5F26" w:rsidRDefault="00A32FA7" w:rsidP="00D130A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Posiblemente lo primero que salte a la vista es que la forma de este segundo gráfico es muy similar a la del porcentaje del PIB que representa la asignación presupuestal a Cultura. </w:t>
      </w:r>
      <w:r w:rsidR="00D413EE">
        <w:rPr>
          <w:rFonts w:ascii="Times New Roman" w:hAnsi="Times New Roman" w:cs="Times New Roman"/>
          <w:sz w:val="24"/>
          <w:szCs w:val="24"/>
        </w:rPr>
        <w:t>Desde el 2001 a la fecha, la asignación presupuestal a cultura no ha llegado a representar el 1% del total de asignación presupuestal. Además, s</w:t>
      </w:r>
      <w:r>
        <w:rPr>
          <w:rFonts w:ascii="Times New Roman" w:hAnsi="Times New Roman" w:cs="Times New Roman"/>
          <w:sz w:val="24"/>
          <w:szCs w:val="24"/>
        </w:rPr>
        <w:t xml:space="preserve">e pueden ver los mismos momentos de auge presupuestal (1999, 2000 y 2008), así como se puede comprobar casi que los mismos momentos de declive con una gran salvedad, el 2017 que presenta números por debajo del peor momento histórico de la serie (2003) en pleno proceso de recuperación de la crisis </w:t>
      </w:r>
      <w:r>
        <w:rPr>
          <w:rFonts w:ascii="Times New Roman" w:hAnsi="Times New Roman" w:cs="Times New Roman"/>
          <w:sz w:val="24"/>
          <w:szCs w:val="24"/>
        </w:rPr>
        <w:lastRenderedPageBreak/>
        <w:t>económica ya mencionada. Aunque esto no debe generar una alarma que no tiene asidero en la realidad, puesto que la ley de Rendición de Cuentas de 2017 aún no está hecha, sí debe alertarse que existe un proceso de baja pronunciada en el presupuesto asignad</w:t>
      </w:r>
      <w:r w:rsidR="00CF16C5">
        <w:rPr>
          <w:rFonts w:ascii="Times New Roman" w:hAnsi="Times New Roman" w:cs="Times New Roman"/>
          <w:sz w:val="24"/>
          <w:szCs w:val="24"/>
        </w:rPr>
        <w:t>o</w:t>
      </w:r>
      <w:r>
        <w:rPr>
          <w:rFonts w:ascii="Times New Roman" w:hAnsi="Times New Roman" w:cs="Times New Roman"/>
          <w:sz w:val="24"/>
          <w:szCs w:val="24"/>
        </w:rPr>
        <w:t xml:space="preserve"> a la cultura desde el 2015 a 2017 y aunque los números de este último año sean algo mejores que lo aquí expresado las diferencias no serán lo suficientemente significativas para contradecir el proceso de baja; incluso el aumento que se percibe al 2018</w:t>
      </w:r>
      <w:r w:rsidR="00D413EE">
        <w:rPr>
          <w:rFonts w:ascii="Times New Roman" w:hAnsi="Times New Roman" w:cs="Times New Roman"/>
          <w:sz w:val="24"/>
          <w:szCs w:val="24"/>
        </w:rPr>
        <w:t xml:space="preserve"> está por debajo de la asignación que tuvo la cultura en el año 2016 (0,58%).</w:t>
      </w:r>
    </w:p>
    <w:p w:rsidR="00764FE8" w:rsidRDefault="00764FE8" w:rsidP="00764FE8">
      <w:pPr>
        <w:spacing w:after="240" w:line="360" w:lineRule="auto"/>
        <w:jc w:val="both"/>
        <w:rPr>
          <w:rFonts w:ascii="Times New Roman" w:hAnsi="Times New Roman" w:cs="Times New Roman"/>
          <w:sz w:val="24"/>
          <w:szCs w:val="24"/>
        </w:rPr>
      </w:pPr>
    </w:p>
    <w:p w:rsidR="003763DB" w:rsidRPr="003763DB" w:rsidRDefault="00A650B8" w:rsidP="003763DB">
      <w:pPr>
        <w:spacing w:line="360" w:lineRule="auto"/>
        <w:jc w:val="both"/>
        <w:rPr>
          <w:rFonts w:ascii="Times New Roman" w:hAnsi="Times New Roman" w:cs="Times New Roman"/>
          <w:sz w:val="24"/>
          <w:szCs w:val="24"/>
          <w:u w:val="single"/>
        </w:rPr>
      </w:pPr>
      <w:r w:rsidRPr="003763DB">
        <w:rPr>
          <w:rFonts w:ascii="Times New Roman" w:hAnsi="Times New Roman" w:cs="Times New Roman"/>
          <w:sz w:val="24"/>
          <w:szCs w:val="24"/>
          <w:u w:val="single"/>
        </w:rPr>
        <w:t>La asignación presupuestal en Cultura, una mirada al reparto interno</w:t>
      </w:r>
    </w:p>
    <w:p w:rsidR="00B665AE" w:rsidRPr="003763DB" w:rsidRDefault="008B562F" w:rsidP="003763DB">
      <w:pPr>
        <w:spacing w:line="360" w:lineRule="auto"/>
        <w:jc w:val="both"/>
        <w:rPr>
          <w:rFonts w:ascii="Times New Roman" w:hAnsi="Times New Roman" w:cs="Times New Roman"/>
          <w:sz w:val="24"/>
          <w:szCs w:val="24"/>
        </w:rPr>
      </w:pPr>
      <w:r>
        <w:rPr>
          <w:rFonts w:ascii="Times New Roman" w:hAnsi="Times New Roman" w:cs="Times New Roman"/>
          <w:sz w:val="24"/>
          <w:szCs w:val="24"/>
        </w:rPr>
        <w:t>Tomando como punto de partida la afirmación que el MEC es el órgano rector en materia de política pública en cultura, con la fundamentación presupuestal que sumamos en términos de áreas programáticas, una mirada al reparto presupuestal a la interna de dic</w:t>
      </w:r>
      <w:r w:rsidR="00A613F7">
        <w:rPr>
          <w:rFonts w:ascii="Times New Roman" w:hAnsi="Times New Roman" w:cs="Times New Roman"/>
          <w:sz w:val="24"/>
          <w:szCs w:val="24"/>
        </w:rPr>
        <w:t>ho ministerio, nos comprobará que</w:t>
      </w:r>
      <w:r>
        <w:rPr>
          <w:rFonts w:ascii="Times New Roman" w:hAnsi="Times New Roman" w:cs="Times New Roman"/>
          <w:sz w:val="24"/>
          <w:szCs w:val="24"/>
        </w:rPr>
        <w:t xml:space="preserve"> no solo es el órgano rector, sino que en términos presupuestales eminentemente es un Ministerio de Cultura y </w:t>
      </w:r>
      <w:r w:rsidR="00A613F7">
        <w:rPr>
          <w:rFonts w:ascii="Times New Roman" w:hAnsi="Times New Roman" w:cs="Times New Roman"/>
          <w:sz w:val="24"/>
          <w:szCs w:val="24"/>
        </w:rPr>
        <w:t xml:space="preserve">muchas </w:t>
      </w:r>
      <w:r>
        <w:rPr>
          <w:rFonts w:ascii="Times New Roman" w:hAnsi="Times New Roman" w:cs="Times New Roman"/>
          <w:sz w:val="24"/>
          <w:szCs w:val="24"/>
        </w:rPr>
        <w:t>otras cosas</w:t>
      </w:r>
      <w:r w:rsidR="00A613F7">
        <w:rPr>
          <w:rFonts w:ascii="Times New Roman" w:hAnsi="Times New Roman" w:cs="Times New Roman"/>
          <w:sz w:val="24"/>
          <w:szCs w:val="24"/>
        </w:rPr>
        <w:t xml:space="preserve">. Aunque no en términos de presupuestos, sino de tareas, políticas y acciones, algo de esto nos decía Gonzalo </w:t>
      </w:r>
      <w:proofErr w:type="spellStart"/>
      <w:r w:rsidR="00A613F7">
        <w:rPr>
          <w:rFonts w:ascii="Times New Roman" w:hAnsi="Times New Roman" w:cs="Times New Roman"/>
          <w:sz w:val="24"/>
          <w:szCs w:val="24"/>
        </w:rPr>
        <w:t>Carámbula</w:t>
      </w:r>
      <w:proofErr w:type="spellEnd"/>
      <w:r w:rsidR="00A613F7">
        <w:rPr>
          <w:rFonts w:ascii="Times New Roman" w:hAnsi="Times New Roman" w:cs="Times New Roman"/>
          <w:sz w:val="24"/>
          <w:szCs w:val="24"/>
        </w:rPr>
        <w:t xml:space="preserve"> en su texto “La Institucionalidad Cultural Pública como problema” (2011)</w:t>
      </w:r>
    </w:p>
    <w:p w:rsidR="006C5F26" w:rsidRDefault="008B3B5E" w:rsidP="00D130A4">
      <w:pPr>
        <w:spacing w:line="360" w:lineRule="auto"/>
        <w:jc w:val="both"/>
        <w:rPr>
          <w:rFonts w:ascii="Times New Roman" w:hAnsi="Times New Roman" w:cs="Times New Roman"/>
          <w:sz w:val="24"/>
          <w:szCs w:val="24"/>
        </w:rPr>
      </w:pPr>
      <w:r>
        <w:rPr>
          <w:noProof/>
          <w:lang w:val="es-UY" w:eastAsia="es-UY"/>
        </w:rPr>
        <w:drawing>
          <wp:inline distT="0" distB="0" distL="0" distR="0" wp14:anchorId="63C35A22" wp14:editId="70522B4A">
            <wp:extent cx="6591631" cy="2743200"/>
            <wp:effectExtent l="0" t="0" r="0" b="0"/>
            <wp:docPr id="4"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7F5748" w:rsidRPr="00077CE3" w:rsidRDefault="007F5748" w:rsidP="00D130A4">
      <w:pPr>
        <w:spacing w:after="240" w:line="360" w:lineRule="auto"/>
        <w:jc w:val="center"/>
        <w:rPr>
          <w:rFonts w:ascii="Times New Roman" w:hAnsi="Times New Roman" w:cs="Times New Roman"/>
          <w:sz w:val="16"/>
          <w:szCs w:val="16"/>
        </w:rPr>
      </w:pPr>
      <w:r w:rsidRPr="00077CE3">
        <w:rPr>
          <w:rFonts w:ascii="Times New Roman" w:hAnsi="Times New Roman" w:cs="Times New Roman"/>
          <w:sz w:val="16"/>
          <w:szCs w:val="16"/>
        </w:rPr>
        <w:t xml:space="preserve">Fuente: Elaboración propia en base a datos del Portal de Transparencia Presupuestaria de la Oficina de Planeamiento y Presupuesto de Presidencia de la República. </w:t>
      </w:r>
    </w:p>
    <w:p w:rsidR="00B03F34" w:rsidRDefault="00B03F34" w:rsidP="00D130A4">
      <w:pPr>
        <w:spacing w:line="360" w:lineRule="auto"/>
        <w:jc w:val="both"/>
        <w:rPr>
          <w:rFonts w:ascii="Times New Roman" w:hAnsi="Times New Roman" w:cs="Times New Roman"/>
          <w:sz w:val="24"/>
          <w:szCs w:val="24"/>
        </w:rPr>
      </w:pPr>
      <w:r>
        <w:rPr>
          <w:rFonts w:ascii="Times New Roman" w:hAnsi="Times New Roman" w:cs="Times New Roman"/>
          <w:sz w:val="24"/>
          <w:szCs w:val="24"/>
        </w:rPr>
        <w:t>En 16 de los 20 años que se trabajan en este documento, salvo en el período de recuperación económica pos crisis (2003-2007), la asignación a cultura en el presupuesto del MEC ha sido siempre superior al 50% del total, con un promedio entre 2008 y 2018 del 61% donde ha encontrado una especie de meseta con oscilaciones poco pronunciadas.</w:t>
      </w:r>
    </w:p>
    <w:p w:rsidR="0037674B" w:rsidRPr="00222902" w:rsidRDefault="0059386E" w:rsidP="00D130A4">
      <w:pPr>
        <w:spacing w:line="360" w:lineRule="auto"/>
        <w:jc w:val="both"/>
        <w:rPr>
          <w:rStyle w:val="TextoindependienteCar"/>
          <w:rFonts w:eastAsiaTheme="minorHAnsi"/>
        </w:rPr>
      </w:pPr>
      <w:r>
        <w:rPr>
          <w:rStyle w:val="TextoindependienteCar"/>
          <w:rFonts w:eastAsiaTheme="minorHAnsi"/>
        </w:rPr>
        <w:t xml:space="preserve">Sin embargo, y como es lógico, no todas las UE tienen la misma participación en esos asignaciones totales de montos presupuestales. El gráfico a continuación presenta los datos de porcentajes de asignación presupuestal que ha tenido cada UE en los últimos 20 años para el presupuesto total asignado a cultura como suma de todas ellas. </w:t>
      </w:r>
      <w:r w:rsidR="00222902" w:rsidRPr="00222902">
        <w:rPr>
          <w:rStyle w:val="TextoindependienteCar"/>
          <w:rFonts w:eastAsiaTheme="minorHAnsi"/>
        </w:rPr>
        <w:t xml:space="preserve">  </w:t>
      </w:r>
    </w:p>
    <w:p w:rsidR="00CB7C80" w:rsidRDefault="00F55BD3" w:rsidP="00D130A4">
      <w:pPr>
        <w:spacing w:line="360" w:lineRule="auto"/>
        <w:jc w:val="both"/>
        <w:rPr>
          <w:rFonts w:ascii="Times New Roman" w:hAnsi="Times New Roman" w:cs="Times New Roman"/>
          <w:sz w:val="24"/>
          <w:szCs w:val="24"/>
        </w:rPr>
      </w:pPr>
      <w:r>
        <w:rPr>
          <w:noProof/>
          <w:lang w:val="es-UY" w:eastAsia="es-UY"/>
        </w:rPr>
        <w:lastRenderedPageBreak/>
        <w:drawing>
          <wp:inline distT="0" distB="0" distL="0" distR="0" wp14:anchorId="4101531C" wp14:editId="6F662EB6">
            <wp:extent cx="6645910" cy="3849370"/>
            <wp:effectExtent l="0" t="0" r="0" b="0"/>
            <wp:docPr id="11" name="Gráfico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7F5748" w:rsidRPr="00077CE3" w:rsidRDefault="00D33F26" w:rsidP="00D130A4">
      <w:pPr>
        <w:spacing w:after="240" w:line="360" w:lineRule="auto"/>
        <w:jc w:val="center"/>
        <w:rPr>
          <w:rFonts w:ascii="Times New Roman" w:hAnsi="Times New Roman" w:cs="Times New Roman"/>
          <w:sz w:val="16"/>
          <w:szCs w:val="16"/>
        </w:rPr>
      </w:pPr>
      <w:r w:rsidRPr="00077CE3">
        <w:rPr>
          <w:rFonts w:ascii="Times New Roman" w:hAnsi="Times New Roman" w:cs="Times New Roman"/>
          <w:sz w:val="16"/>
          <w:szCs w:val="16"/>
        </w:rPr>
        <w:t>Fuente: Elaboración propia en base a datos del Portal de Transparencia Presupuestaria de la Oficina de Planeamiento y Presupuesto de Presidencia de la República.</w:t>
      </w:r>
    </w:p>
    <w:p w:rsidR="002E5EA9" w:rsidRDefault="00EF2C5A" w:rsidP="00D130A4">
      <w:pPr>
        <w:spacing w:line="360" w:lineRule="auto"/>
        <w:jc w:val="both"/>
        <w:rPr>
          <w:rStyle w:val="TextoindependienteCar"/>
          <w:rFonts w:eastAsiaTheme="minorHAnsi"/>
        </w:rPr>
      </w:pPr>
      <w:r>
        <w:rPr>
          <w:rFonts w:ascii="Times New Roman" w:hAnsi="Times New Roman" w:cs="Times New Roman"/>
          <w:sz w:val="24"/>
          <w:szCs w:val="24"/>
        </w:rPr>
        <w:t>El SODRE, UE n°</w:t>
      </w:r>
      <w:r w:rsidR="0056777A">
        <w:rPr>
          <w:rFonts w:ascii="Times New Roman" w:hAnsi="Times New Roman" w:cs="Times New Roman"/>
          <w:sz w:val="24"/>
          <w:szCs w:val="24"/>
        </w:rPr>
        <w:t xml:space="preserve"> </w:t>
      </w:r>
      <w:r>
        <w:rPr>
          <w:rFonts w:ascii="Times New Roman" w:hAnsi="Times New Roman" w:cs="Times New Roman"/>
          <w:sz w:val="24"/>
          <w:szCs w:val="24"/>
        </w:rPr>
        <w:t>16 es históricamente la que mayor asignación presupuestal ha tenido</w:t>
      </w:r>
      <w:r w:rsidR="0056777A">
        <w:rPr>
          <w:rFonts w:ascii="Times New Roman" w:hAnsi="Times New Roman" w:cs="Times New Roman"/>
          <w:sz w:val="24"/>
          <w:szCs w:val="24"/>
        </w:rPr>
        <w:t>, su promedio ha sido del 36,3% en los últimos 20 años, muy cerca a la Secretaría General (UE n° 01) que tiene un promedio de 37,1% y que demás, como dijimos más arriba, los datos se presentan de ella son en su totalidad, sin discriminar lo que es específicamente cultural (es decir, contempla otras tareas más allá de las culturales ya que no es posible</w:t>
      </w:r>
      <w:r w:rsidR="0056777A">
        <w:rPr>
          <w:rFonts w:ascii="Times New Roman" w:hAnsi="Times New Roman" w:cs="Times New Roman"/>
          <w:sz w:val="24"/>
          <w:szCs w:val="24"/>
        </w:rPr>
        <w:t xml:space="preserve"> desagregar</w:t>
      </w:r>
      <w:r w:rsidR="0056777A">
        <w:rPr>
          <w:rFonts w:ascii="Times New Roman" w:hAnsi="Times New Roman" w:cs="Times New Roman"/>
          <w:sz w:val="24"/>
          <w:szCs w:val="24"/>
        </w:rPr>
        <w:t>los</w:t>
      </w:r>
      <w:r w:rsidR="0056777A">
        <w:rPr>
          <w:rFonts w:ascii="Times New Roman" w:hAnsi="Times New Roman" w:cs="Times New Roman"/>
          <w:sz w:val="24"/>
          <w:szCs w:val="24"/>
        </w:rPr>
        <w:t xml:space="preserve"> en su totalidad</w:t>
      </w:r>
      <w:r w:rsidR="0056777A">
        <w:rPr>
          <w:rFonts w:ascii="Times New Roman" w:hAnsi="Times New Roman" w:cs="Times New Roman"/>
          <w:sz w:val="24"/>
          <w:szCs w:val="24"/>
        </w:rPr>
        <w:t>)</w:t>
      </w:r>
      <w:r>
        <w:rPr>
          <w:rFonts w:ascii="Times New Roman" w:hAnsi="Times New Roman" w:cs="Times New Roman"/>
          <w:sz w:val="24"/>
          <w:szCs w:val="24"/>
        </w:rPr>
        <w:t xml:space="preserve">. </w:t>
      </w:r>
      <w:r w:rsidR="00B777CA">
        <w:rPr>
          <w:rFonts w:ascii="Times New Roman" w:hAnsi="Times New Roman" w:cs="Times New Roman"/>
          <w:sz w:val="24"/>
          <w:szCs w:val="24"/>
        </w:rPr>
        <w:t xml:space="preserve">Sumado a esto, </w:t>
      </w:r>
      <w:r w:rsidR="00B23E73" w:rsidRPr="002E5EA9">
        <w:rPr>
          <w:rStyle w:val="TextoindependienteCar"/>
          <w:rFonts w:eastAsiaTheme="minorHAnsi"/>
        </w:rPr>
        <w:t xml:space="preserve">hasta el año 2003 no existía </w:t>
      </w:r>
      <w:r w:rsidR="00B777CA" w:rsidRPr="002E5EA9">
        <w:rPr>
          <w:rStyle w:val="TextoindependienteCar"/>
          <w:rFonts w:eastAsiaTheme="minorHAnsi"/>
        </w:rPr>
        <w:t>la UE 24</w:t>
      </w:r>
      <w:r w:rsidR="00B777CA">
        <w:rPr>
          <w:rFonts w:ascii="Times New Roman" w:hAnsi="Times New Roman" w:cs="Times New Roman"/>
          <w:sz w:val="24"/>
          <w:szCs w:val="24"/>
        </w:rPr>
        <w:t>,</w:t>
      </w:r>
      <w:r w:rsidR="00B23E73" w:rsidRPr="00B23E73">
        <w:rPr>
          <w:rStyle w:val="TextoindependienteCar"/>
          <w:rFonts w:eastAsiaTheme="minorHAnsi"/>
        </w:rPr>
        <w:t xml:space="preserve"> primero creada para el</w:t>
      </w:r>
      <w:r w:rsidR="00B23E73">
        <w:rPr>
          <w:rStyle w:val="TextoindependienteCar"/>
          <w:rFonts w:eastAsiaTheme="minorHAnsi"/>
        </w:rPr>
        <w:t xml:space="preserve"> Canal 5 TVEO a partir de ese año</w:t>
      </w:r>
      <w:r w:rsidR="00B777CA" w:rsidRPr="00B23E73">
        <w:rPr>
          <w:rStyle w:val="TextoindependienteCar"/>
          <w:rFonts w:eastAsiaTheme="minorHAnsi"/>
        </w:rPr>
        <w:t xml:space="preserve"> y luego</w:t>
      </w:r>
      <w:r w:rsidR="00B777CA" w:rsidRPr="002E5EA9">
        <w:rPr>
          <w:rStyle w:val="TextoindependienteCar"/>
          <w:rFonts w:eastAsiaTheme="minorHAnsi"/>
        </w:rPr>
        <w:t xml:space="preserve"> devenida en el Servicio de Comunicación Audiovisual Nacional</w:t>
      </w:r>
      <w:r w:rsidR="00B23E73" w:rsidRPr="00B23E73">
        <w:rPr>
          <w:rStyle w:val="TextoindependienteCar"/>
          <w:rFonts w:eastAsiaTheme="minorHAnsi"/>
        </w:rPr>
        <w:t xml:space="preserve"> (SECAN)</w:t>
      </w:r>
      <w:r w:rsidR="00B23E73">
        <w:rPr>
          <w:rStyle w:val="TextoindependienteCar"/>
          <w:rFonts w:eastAsiaTheme="minorHAnsi"/>
        </w:rPr>
        <w:t xml:space="preserve"> a instancias de lo establecido por la Ley 19.307 de diciembre de 2014 que lo crea</w:t>
      </w:r>
      <w:r w:rsidR="00B777CA">
        <w:rPr>
          <w:rStyle w:val="Refdenotaalpie"/>
          <w:rFonts w:ascii="Times New Roman" w:hAnsi="Times New Roman" w:cs="Times New Roman"/>
          <w:sz w:val="24"/>
          <w:szCs w:val="24"/>
        </w:rPr>
        <w:footnoteReference w:id="11"/>
      </w:r>
      <w:r w:rsidR="00B23E73" w:rsidRPr="002E5EA9">
        <w:rPr>
          <w:rStyle w:val="TextoindependienteCar"/>
          <w:rFonts w:eastAsiaTheme="minorHAnsi"/>
        </w:rPr>
        <w:t xml:space="preserve">. </w:t>
      </w:r>
      <w:r w:rsidR="00C7139E" w:rsidRPr="002E5EA9">
        <w:rPr>
          <w:rStyle w:val="TextoindependienteCar"/>
          <w:rFonts w:eastAsiaTheme="minorHAnsi"/>
        </w:rPr>
        <w:t xml:space="preserve">Como dice </w:t>
      </w:r>
      <w:r w:rsidR="00B23E73" w:rsidRPr="002E5EA9">
        <w:rPr>
          <w:rStyle w:val="TextoindependienteCar"/>
          <w:rFonts w:eastAsiaTheme="minorHAnsi"/>
        </w:rPr>
        <w:t>Ma. Inés de Torres (2015)</w:t>
      </w:r>
      <w:r w:rsidR="00C7139E" w:rsidRPr="002E5EA9">
        <w:rPr>
          <w:rStyle w:val="TextoindependienteCar"/>
          <w:rFonts w:eastAsiaTheme="minorHAnsi"/>
        </w:rPr>
        <w:t xml:space="preserve">, históricamente el diseño del </w:t>
      </w:r>
      <w:r w:rsidR="00B23E73" w:rsidRPr="002E5EA9">
        <w:rPr>
          <w:rStyle w:val="TextoindependienteCar"/>
          <w:rFonts w:eastAsiaTheme="minorHAnsi"/>
        </w:rPr>
        <w:t xml:space="preserve">SODRE </w:t>
      </w:r>
      <w:r w:rsidR="00C7139E" w:rsidRPr="002E5EA9">
        <w:rPr>
          <w:rStyle w:val="TextoindependienteCar"/>
          <w:rFonts w:eastAsiaTheme="minorHAnsi"/>
        </w:rPr>
        <w:t>ha sido muy p</w:t>
      </w:r>
      <w:r w:rsidR="00B23E73" w:rsidRPr="002E5EA9">
        <w:rPr>
          <w:rStyle w:val="TextoindependienteCar"/>
          <w:rFonts w:eastAsiaTheme="minorHAnsi"/>
        </w:rPr>
        <w:t>ecu</w:t>
      </w:r>
      <w:r w:rsidR="00C7139E" w:rsidRPr="002E5EA9">
        <w:rPr>
          <w:rStyle w:val="TextoindependienteCar"/>
          <w:rFonts w:eastAsiaTheme="minorHAnsi"/>
        </w:rPr>
        <w:t xml:space="preserve">liar, ella lo llama </w:t>
      </w:r>
      <w:r w:rsidR="002E5EA9" w:rsidRPr="002E5EA9">
        <w:rPr>
          <w:rStyle w:val="TextoindependienteCar"/>
          <w:rFonts w:eastAsiaTheme="minorHAnsi"/>
        </w:rPr>
        <w:t>'de doble vía'</w:t>
      </w:r>
      <w:r w:rsidR="00B23E73" w:rsidRPr="002E5EA9">
        <w:rPr>
          <w:rStyle w:val="TextoindependienteCar"/>
          <w:rFonts w:eastAsiaTheme="minorHAnsi"/>
        </w:rPr>
        <w:t xml:space="preserve"> en tanto supuso la instalación al mismo tiempo de la</w:t>
      </w:r>
      <w:r w:rsidR="002E5EA9" w:rsidRPr="002E5EA9">
        <w:rPr>
          <w:rStyle w:val="TextoindependienteCar"/>
          <w:rFonts w:eastAsiaTheme="minorHAnsi"/>
        </w:rPr>
        <w:t xml:space="preserve"> radio y del Estudio Auditorio; por lo que podríamos decir que </w:t>
      </w:r>
      <w:r w:rsidR="00C7139E" w:rsidRPr="002E5EA9">
        <w:rPr>
          <w:rStyle w:val="TextoindependienteCar"/>
          <w:rFonts w:eastAsiaTheme="minorHAnsi"/>
        </w:rPr>
        <w:t>recién a partir de la creación del SECAN el SODRE se ha concentrado en su Estud</w:t>
      </w:r>
      <w:r w:rsidR="002E5EA9" w:rsidRPr="002E5EA9">
        <w:rPr>
          <w:rStyle w:val="TextoindependienteCar"/>
          <w:rFonts w:eastAsiaTheme="minorHAnsi"/>
        </w:rPr>
        <w:t>io Auditorio (Cuerpos Estables</w:t>
      </w:r>
      <w:r w:rsidR="002E5EA9">
        <w:rPr>
          <w:rStyle w:val="Refdenotaalpie"/>
          <w:rFonts w:ascii="Times New Roman" w:hAnsi="Times New Roman" w:cs="Times New Roman"/>
          <w:sz w:val="24"/>
          <w:szCs w:val="24"/>
        </w:rPr>
        <w:footnoteReference w:id="12"/>
      </w:r>
      <w:r w:rsidR="002E5EA9" w:rsidRPr="002E5EA9">
        <w:rPr>
          <w:rStyle w:val="TextoindependienteCar"/>
          <w:rFonts w:eastAsiaTheme="minorHAnsi"/>
        </w:rPr>
        <w:t>, Archivo de la Imagen y la Palabra, Escuelas de Formación Artística y los Auditorios).</w:t>
      </w:r>
      <w:r w:rsidR="002E5EA9">
        <w:rPr>
          <w:rStyle w:val="TextoindependienteCar"/>
          <w:rFonts w:eastAsiaTheme="minorHAnsi"/>
        </w:rPr>
        <w:t xml:space="preserve"> </w:t>
      </w:r>
    </w:p>
    <w:p w:rsidR="003D684A" w:rsidRDefault="002E5EA9" w:rsidP="00D130A4">
      <w:pPr>
        <w:spacing w:line="360" w:lineRule="auto"/>
        <w:jc w:val="both"/>
        <w:rPr>
          <w:rStyle w:val="TextoindependienteCar"/>
          <w:rFonts w:eastAsiaTheme="minorHAnsi"/>
        </w:rPr>
      </w:pPr>
      <w:r>
        <w:rPr>
          <w:rStyle w:val="TextoindependienteCar"/>
          <w:rFonts w:eastAsiaTheme="minorHAnsi"/>
        </w:rPr>
        <w:t>El momento de mayor porcentaje de asignación presupuestal para la UE del SODRE fue en 2001 con el 50,8%, pero como decíamos en ese momento el servicio de televisión pública estaba inserto en él por lo que ese porcentaje no es totalmente fiel a una comparación temporal adecuada. En 2008, y con la UE 24 ya creada, el SODRE tiene una asignación del 44,2% el total. Pero c</w:t>
      </w:r>
      <w:r w:rsidR="00887C38">
        <w:rPr>
          <w:rStyle w:val="TextoindependienteCar"/>
          <w:rFonts w:eastAsiaTheme="minorHAnsi"/>
        </w:rPr>
        <w:t xml:space="preserve">omo decíamos, los mejores datos para comparar son a partir del 2015 con </w:t>
      </w:r>
      <w:r w:rsidR="003D684A">
        <w:rPr>
          <w:rStyle w:val="TextoindependienteCar"/>
          <w:rFonts w:eastAsiaTheme="minorHAnsi"/>
        </w:rPr>
        <w:t xml:space="preserve">la creación del SECAN, desde allí a la fecha el año de mayor de </w:t>
      </w:r>
      <w:r w:rsidR="003D684A">
        <w:rPr>
          <w:rStyle w:val="TextoindependienteCar"/>
          <w:rFonts w:eastAsiaTheme="minorHAnsi"/>
        </w:rPr>
        <w:lastRenderedPageBreak/>
        <w:t>asignación presupuestal para el SODRE fue el 2017 con el 32,5%, y también fue el de mayor asignación para la UE 24 (SECAN) con el 17,8%. Este año también ha sido el de mayor asignación para la UE 3 (Dirección Nacional de Cultura) desde su creación en 2007 y primera asignación presupuestal en 2008, con un 12,6%.</w:t>
      </w:r>
    </w:p>
    <w:p w:rsidR="00B777CA" w:rsidRDefault="003D684A" w:rsidP="00D130A4">
      <w:pPr>
        <w:spacing w:line="360" w:lineRule="auto"/>
        <w:jc w:val="both"/>
        <w:rPr>
          <w:rStyle w:val="TextoindependienteCar"/>
          <w:rFonts w:eastAsiaTheme="minorHAnsi"/>
        </w:rPr>
      </w:pPr>
      <w:r>
        <w:rPr>
          <w:rStyle w:val="TextoindependienteCar"/>
          <w:rFonts w:eastAsiaTheme="minorHAnsi"/>
        </w:rPr>
        <w:t xml:space="preserve">Las cuatro UE mencionadas: Dirección General de Secretaría (01), Dirección Nacional de Cultura (03), SODRE (16) y SECAN (24), explican </w:t>
      </w:r>
      <w:r w:rsidR="00440D52">
        <w:rPr>
          <w:rStyle w:val="TextoindependienteCar"/>
          <w:rFonts w:eastAsiaTheme="minorHAnsi"/>
        </w:rPr>
        <w:t>el 89,5% del presupuesto asignado a cultura en 2018 y allí radica su destaque en el párrafo anterior. Sin embargo, es importante destacar que tanto el Museo Nacional de Artes Visuales (UE 4)</w:t>
      </w:r>
      <w:r w:rsidR="009C7989">
        <w:rPr>
          <w:rStyle w:val="TextoindependienteCar"/>
          <w:rFonts w:eastAsiaTheme="minorHAnsi"/>
        </w:rPr>
        <w:t xml:space="preserve"> con un promedio de asignación presupuestal de 1,2%</w:t>
      </w:r>
      <w:r w:rsidR="00440D52">
        <w:rPr>
          <w:rStyle w:val="TextoindependienteCar"/>
          <w:rFonts w:eastAsiaTheme="minorHAnsi"/>
        </w:rPr>
        <w:t>, el Archivo General de la Nación (UE 7)</w:t>
      </w:r>
      <w:r w:rsidR="009C7989">
        <w:rPr>
          <w:rStyle w:val="TextoindependienteCar"/>
          <w:rFonts w:eastAsiaTheme="minorHAnsi"/>
        </w:rPr>
        <w:t xml:space="preserve"> con un promedio de 3,9%</w:t>
      </w:r>
      <w:r w:rsidR="00440D52">
        <w:rPr>
          <w:rStyle w:val="TextoindependienteCar"/>
          <w:rFonts w:eastAsiaTheme="minorHAnsi"/>
        </w:rPr>
        <w:t>, la Comisión del Patrimonio Cultural de la Nación</w:t>
      </w:r>
      <w:r w:rsidR="005D5D25">
        <w:rPr>
          <w:rStyle w:val="TextoindependienteCar"/>
          <w:rFonts w:eastAsiaTheme="minorHAnsi"/>
        </w:rPr>
        <w:t xml:space="preserve"> (UE 8)</w:t>
      </w:r>
      <w:r w:rsidR="009C7989">
        <w:rPr>
          <w:rStyle w:val="TextoindependienteCar"/>
          <w:rFonts w:eastAsiaTheme="minorHAnsi"/>
        </w:rPr>
        <w:t xml:space="preserve"> con un promedio de 2%</w:t>
      </w:r>
      <w:r w:rsidR="005D5D25">
        <w:rPr>
          <w:rStyle w:val="TextoindependienteCar"/>
          <w:rFonts w:eastAsiaTheme="minorHAnsi"/>
        </w:rPr>
        <w:t xml:space="preserve">, así como la Dirección General de la Biblioteca Nacional (UE 15) </w:t>
      </w:r>
      <w:r w:rsidR="009C7989">
        <w:rPr>
          <w:rStyle w:val="TextoindependienteCar"/>
          <w:rFonts w:eastAsiaTheme="minorHAnsi"/>
        </w:rPr>
        <w:t xml:space="preserve">con un promedio de 4,6% </w:t>
      </w:r>
      <w:r w:rsidR="005D5D25">
        <w:rPr>
          <w:rStyle w:val="TextoindependienteCar"/>
          <w:rFonts w:eastAsiaTheme="minorHAnsi"/>
        </w:rPr>
        <w:t>han tenido una permanencia de largo aliento en la institucionalidad cultural y presupuestal de nuestro país</w:t>
      </w:r>
      <w:r w:rsidR="009C7989">
        <w:rPr>
          <w:rStyle w:val="TextoindependienteCar"/>
          <w:rFonts w:eastAsiaTheme="minorHAnsi"/>
        </w:rPr>
        <w:t xml:space="preserve"> y todo parece indicar que así seguirá. Con excepción del caso </w:t>
      </w:r>
      <w:r w:rsidR="005D5D25">
        <w:rPr>
          <w:rStyle w:val="TextoindependienteCar"/>
          <w:rFonts w:eastAsiaTheme="minorHAnsi"/>
        </w:rPr>
        <w:t>del Museo Histórico Nacional</w:t>
      </w:r>
      <w:r w:rsidR="009C7989">
        <w:rPr>
          <w:rStyle w:val="TextoindependienteCar"/>
          <w:rFonts w:eastAsiaTheme="minorHAnsi"/>
        </w:rPr>
        <w:t xml:space="preserve"> que </w:t>
      </w:r>
      <w:r w:rsidR="00CA7BCC">
        <w:rPr>
          <w:rStyle w:val="TextoindependienteCar"/>
          <w:rFonts w:eastAsiaTheme="minorHAnsi"/>
        </w:rPr>
        <w:t xml:space="preserve">paulatinamente ha pasado a funcionar en la órbita de la Dirección Nacional de Cultura, en un proceso iniciado en diciembre de 2012 </w:t>
      </w:r>
      <w:r w:rsidR="005D5D25">
        <w:rPr>
          <w:rStyle w:val="TextoindependienteCar"/>
          <w:rFonts w:eastAsiaTheme="minorHAnsi"/>
        </w:rPr>
        <w:t>que a partir de la Ley 19.037 que crea el Sistema</w:t>
      </w:r>
      <w:r w:rsidR="00CA7BCC">
        <w:rPr>
          <w:rStyle w:val="TextoindependienteCar"/>
          <w:rFonts w:eastAsiaTheme="minorHAnsi"/>
        </w:rPr>
        <w:t xml:space="preserve"> Nacional de Museo que justamente funciona bajo la coordinación de dicha </w:t>
      </w:r>
      <w:r w:rsidR="005D5D25">
        <w:rPr>
          <w:rStyle w:val="TextoindependienteCar"/>
          <w:rFonts w:eastAsiaTheme="minorHAnsi"/>
        </w:rPr>
        <w:t>Dirección</w:t>
      </w:r>
      <w:r w:rsidR="00CA7BCC">
        <w:rPr>
          <w:rStyle w:val="TextoindependienteCar"/>
          <w:rFonts w:eastAsiaTheme="minorHAnsi"/>
        </w:rPr>
        <w:t xml:space="preserve"> según establece el decreto reglamentario n° 295/14 de la Presidencia de la República</w:t>
      </w:r>
      <w:r w:rsidR="00CA7BCC">
        <w:rPr>
          <w:rStyle w:val="Refdenotaalpie"/>
          <w:rFonts w:ascii="Times New Roman" w:hAnsi="Times New Roman" w:cs="Times New Roman"/>
          <w:sz w:val="24"/>
          <w:szCs w:val="24"/>
          <w:lang w:eastAsia="zh-CN"/>
        </w:rPr>
        <w:footnoteReference w:id="13"/>
      </w:r>
      <w:r w:rsidR="00CA7BCC">
        <w:rPr>
          <w:rStyle w:val="TextoindependienteCar"/>
          <w:rFonts w:eastAsiaTheme="minorHAnsi"/>
        </w:rPr>
        <w:t>.</w:t>
      </w:r>
    </w:p>
    <w:p w:rsidR="00104DD9" w:rsidRDefault="00104DD9" w:rsidP="00104DD9">
      <w:pPr>
        <w:spacing w:line="360" w:lineRule="auto"/>
        <w:jc w:val="both"/>
        <w:rPr>
          <w:rStyle w:val="TextoindependienteCar"/>
          <w:rFonts w:eastAsiaTheme="minorHAnsi"/>
        </w:rPr>
      </w:pPr>
      <w:r>
        <w:rPr>
          <w:rStyle w:val="TextoindependienteCar"/>
          <w:rFonts w:eastAsiaTheme="minorHAnsi"/>
        </w:rPr>
        <w:t>Si tomamos la definición de institucionalidad cultural el “c</w:t>
      </w:r>
      <w:r w:rsidRPr="00104DD9">
        <w:rPr>
          <w:rStyle w:val="TextoindependienteCar"/>
          <w:rFonts w:eastAsiaTheme="minorHAnsi"/>
        </w:rPr>
        <w:t xml:space="preserve">onjunto de los organismos públicos y privados, como los instrumentos legales, financieros, de infraestructura y de gestión que tanto el Estado como la sociedad civil crean y ponen al servicio del desarrollo artístico y cultural y de la conservación y difusión del patrimonio cultural del país, tanto en los niveles internacional, regional, nacional, comunal y barrial en que se desenvuelve la vida de las personas… </w:t>
      </w:r>
      <w:r>
        <w:rPr>
          <w:rStyle w:val="TextoindependienteCar"/>
          <w:rFonts w:eastAsiaTheme="minorHAnsi"/>
        </w:rPr>
        <w:t>[</w:t>
      </w:r>
      <w:proofErr w:type="gramStart"/>
      <w:r>
        <w:rPr>
          <w:rStyle w:val="TextoindependienteCar"/>
          <w:rFonts w:eastAsiaTheme="minorHAnsi"/>
        </w:rPr>
        <w:t>aunque</w:t>
      </w:r>
      <w:proofErr w:type="gramEnd"/>
      <w:r>
        <w:rPr>
          <w:rStyle w:val="TextoindependienteCar"/>
          <w:rFonts w:eastAsiaTheme="minorHAnsi"/>
        </w:rPr>
        <w:t>] e</w:t>
      </w:r>
      <w:r w:rsidRPr="00104DD9">
        <w:rPr>
          <w:rStyle w:val="TextoindependienteCar"/>
          <w:rFonts w:eastAsiaTheme="minorHAnsi"/>
        </w:rPr>
        <w:t>n sentido estricto, se utiliza para aludir únicamente a los organismos públicos y privados que cumplen funciones y procuran conseguir objetivos en el campo cultural</w:t>
      </w:r>
      <w:r>
        <w:rPr>
          <w:rStyle w:val="TextoindependienteCar"/>
          <w:rFonts w:eastAsiaTheme="minorHAnsi"/>
        </w:rPr>
        <w:t>”</w:t>
      </w:r>
      <w:r w:rsidRPr="00104DD9">
        <w:rPr>
          <w:rStyle w:val="TextoindependienteCar"/>
          <w:rFonts w:eastAsiaTheme="minorHAnsi"/>
        </w:rPr>
        <w:t xml:space="preserve"> (Gonzalo </w:t>
      </w:r>
      <w:proofErr w:type="spellStart"/>
      <w:r w:rsidRPr="00104DD9">
        <w:rPr>
          <w:rStyle w:val="TextoindependienteCar"/>
          <w:rFonts w:eastAsiaTheme="minorHAnsi"/>
        </w:rPr>
        <w:t>Carámbula</w:t>
      </w:r>
      <w:proofErr w:type="spellEnd"/>
      <w:r w:rsidRPr="00104DD9">
        <w:rPr>
          <w:rStyle w:val="TextoindependienteCar"/>
          <w:rFonts w:eastAsiaTheme="minorHAnsi"/>
        </w:rPr>
        <w:t>, 2011)</w:t>
      </w:r>
      <w:r>
        <w:rPr>
          <w:rStyle w:val="TextoindependienteCar"/>
          <w:rFonts w:eastAsiaTheme="minorHAnsi"/>
        </w:rPr>
        <w:t xml:space="preserve">, y nos concentráramos en los organismos públicos, a priori diríamos o pensaríamos en cierta inamovilidad de las estructuras. Sin embargo, algo que se vislumbra en los datos presentados es que esa inamovilidad es solo aparente y que las instituciones públicas con especificidad en lo cultural se han ido modificando e intentando adaptarse a los tiempos actuales a lo largo de los últimos 20 años. Esta idea se refuerza si vemos que el MEC ha intentado desconcentrar sus labores procurando mayores asignaciones presupuestales a sus UE que están por fuera de la órbita central, es decir, por fuera de la Dirección General de Secretaría. </w:t>
      </w:r>
    </w:p>
    <w:p w:rsidR="00104DD9" w:rsidRPr="00104DD9" w:rsidRDefault="00104DD9" w:rsidP="00104DD9">
      <w:pPr>
        <w:spacing w:line="360" w:lineRule="auto"/>
        <w:jc w:val="both"/>
        <w:rPr>
          <w:lang w:val="es-UY" w:eastAsia="zh-CN"/>
        </w:rPr>
      </w:pPr>
    </w:p>
    <w:p w:rsidR="009C7989" w:rsidRPr="002E5EA9" w:rsidRDefault="009C7989" w:rsidP="00D130A4">
      <w:pPr>
        <w:spacing w:line="360" w:lineRule="auto"/>
        <w:jc w:val="both"/>
        <w:rPr>
          <w:rStyle w:val="TextoindependienteCar"/>
          <w:rFonts w:eastAsiaTheme="minorHAnsi"/>
        </w:rPr>
      </w:pPr>
    </w:p>
    <w:p w:rsidR="00C7139E" w:rsidRDefault="00C7139E" w:rsidP="00D130A4">
      <w:pPr>
        <w:spacing w:line="360" w:lineRule="auto"/>
        <w:jc w:val="both"/>
        <w:rPr>
          <w:rFonts w:ascii="Times New Roman" w:hAnsi="Times New Roman" w:cs="Times New Roman"/>
          <w:sz w:val="24"/>
          <w:szCs w:val="24"/>
        </w:rPr>
      </w:pPr>
    </w:p>
    <w:p w:rsidR="0059386E" w:rsidRDefault="00104DD9" w:rsidP="0059386E">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Ahora bien, h</w:t>
      </w:r>
      <w:r w:rsidR="0059386E">
        <w:rPr>
          <w:rFonts w:ascii="Times New Roman" w:hAnsi="Times New Roman" w:cs="Times New Roman"/>
          <w:sz w:val="24"/>
          <w:szCs w:val="24"/>
        </w:rPr>
        <w:t>aciendo una mirada al tipo de gasto que han tenido estas UE, podemos hacernos de una idea general de en qué se ocupa</w:t>
      </w:r>
      <w:r>
        <w:rPr>
          <w:rFonts w:ascii="Times New Roman" w:hAnsi="Times New Roman" w:cs="Times New Roman"/>
          <w:sz w:val="24"/>
          <w:szCs w:val="24"/>
        </w:rPr>
        <w:t>n</w:t>
      </w:r>
      <w:r w:rsidR="0059386E">
        <w:rPr>
          <w:rFonts w:ascii="Times New Roman" w:hAnsi="Times New Roman" w:cs="Times New Roman"/>
          <w:sz w:val="24"/>
          <w:szCs w:val="24"/>
        </w:rPr>
        <w:t xml:space="preserve"> ese porcentaje presupuestal del MEC tan alto que lo hace eminentemente cultural. </w:t>
      </w:r>
    </w:p>
    <w:p w:rsidR="0059386E" w:rsidRDefault="0059386E" w:rsidP="0059386E">
      <w:pPr>
        <w:spacing w:line="360" w:lineRule="auto"/>
        <w:jc w:val="both"/>
        <w:rPr>
          <w:rFonts w:ascii="Times New Roman" w:hAnsi="Times New Roman" w:cs="Times New Roman"/>
          <w:sz w:val="24"/>
          <w:szCs w:val="24"/>
        </w:rPr>
      </w:pPr>
      <w:r>
        <w:rPr>
          <w:noProof/>
          <w:lang w:val="es-UY" w:eastAsia="es-UY"/>
        </w:rPr>
        <w:drawing>
          <wp:inline distT="0" distB="0" distL="0" distR="0" wp14:anchorId="6CD3B2AD" wp14:editId="0F62964E">
            <wp:extent cx="6567777" cy="2990850"/>
            <wp:effectExtent l="0" t="0" r="0" b="0"/>
            <wp:docPr id="5" name="Gráfico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59386E" w:rsidRPr="00077CE3" w:rsidRDefault="0059386E" w:rsidP="0059386E">
      <w:pPr>
        <w:spacing w:after="240" w:line="360" w:lineRule="auto"/>
        <w:jc w:val="center"/>
        <w:rPr>
          <w:rFonts w:ascii="Times New Roman" w:hAnsi="Times New Roman" w:cs="Times New Roman"/>
          <w:sz w:val="16"/>
          <w:szCs w:val="16"/>
        </w:rPr>
      </w:pPr>
      <w:r w:rsidRPr="00077CE3">
        <w:rPr>
          <w:rFonts w:ascii="Times New Roman" w:hAnsi="Times New Roman" w:cs="Times New Roman"/>
          <w:sz w:val="16"/>
          <w:szCs w:val="16"/>
        </w:rPr>
        <w:t>Fuente: Elaboración propia en base a datos del Portal de Transparencia Presupuestaria de la Oficina de Planeamiento y Presupuesto de Presidencia de la República</w:t>
      </w:r>
      <w:r w:rsidRPr="00077CE3">
        <w:rPr>
          <w:sz w:val="16"/>
          <w:szCs w:val="16"/>
        </w:rPr>
        <w:footnoteReference w:id="14"/>
      </w:r>
      <w:r w:rsidRPr="00077CE3">
        <w:rPr>
          <w:rFonts w:ascii="Times New Roman" w:hAnsi="Times New Roman" w:cs="Times New Roman"/>
          <w:sz w:val="16"/>
          <w:szCs w:val="16"/>
        </w:rPr>
        <w:t>.</w:t>
      </w:r>
    </w:p>
    <w:p w:rsidR="0059386E" w:rsidRDefault="0059386E" w:rsidP="0059386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Los datos expresados en este gráfico dan cuenta de algunos fenómenos interesantes. El primero es que el presupuesto asignado para hacer inversiones por parte de las UE especializadas en el quehacer cultural ha tenido un pico en el 2008, luego una baja significativa y se ha mantenido en una meseta desde 2011 hasta hoy con montos en pesos corrientes que tuvieron variaciones mínimas. El segundo es que el gasto en funcionamiento ha aumentado progresivamente entre 2003 y 2015 y a partir de allí ha tenido una merma bastante considerable. El tercero es que los gastos en personal han aumentado progresivamente, también desde 2003, con un salto incremental a partir de 2012 y una meseta a partir de 2015. </w:t>
      </w:r>
    </w:p>
    <w:p w:rsidR="0059386E" w:rsidRDefault="0059386E" w:rsidP="0059386E">
      <w:pPr>
        <w:spacing w:line="360" w:lineRule="auto"/>
        <w:jc w:val="both"/>
        <w:rPr>
          <w:rStyle w:val="TextoindependienteCar"/>
          <w:rFonts w:eastAsiaTheme="minorHAnsi"/>
        </w:rPr>
      </w:pPr>
      <w:r>
        <w:rPr>
          <w:rFonts w:ascii="Times New Roman" w:hAnsi="Times New Roman" w:cs="Times New Roman"/>
          <w:sz w:val="24"/>
          <w:szCs w:val="24"/>
        </w:rPr>
        <w:t>La baja en los gastos de funcionamiento a partir de 2015 y el salto incremental y meseta del gasto en personal a partir de 2012 y 2015 respectivamente son fenómenos íntimamente relacionados. El primero se explica a partir de una situación que comienza con el segundo. Es decir, a partir de 2012 comienzan a aplicarse las regularizaciones de diversas situaciones contractuales que tenían muchos años en las distintas UE especializadas en cultura, este proceso comienza con la aprobación de los Decretos de Presidencia n° 52, 53 y 55 de febrero de 2011 que corrigen las formas de “contrato artístico”, crean el “contrato laboral” y el “contrato temporal de derecho público”</w:t>
      </w:r>
      <w:r>
        <w:rPr>
          <w:rStyle w:val="Refdenotaalpie"/>
          <w:rFonts w:ascii="Times New Roman" w:hAnsi="Times New Roman" w:cs="Times New Roman"/>
          <w:sz w:val="24"/>
          <w:szCs w:val="24"/>
        </w:rPr>
        <w:footnoteReference w:id="15"/>
      </w:r>
      <w:r w:rsidRPr="00222902">
        <w:rPr>
          <w:rStyle w:val="TextoindependienteCar"/>
          <w:rFonts w:eastAsiaTheme="minorHAnsi"/>
        </w:rPr>
        <w:t xml:space="preserve">. Este proceso de regularización alcanza su punto más alto cuando en 2015 se da un ingreso a la </w:t>
      </w:r>
      <w:proofErr w:type="spellStart"/>
      <w:r w:rsidRPr="00222902">
        <w:rPr>
          <w:rStyle w:val="TextoindependienteCar"/>
          <w:rFonts w:eastAsiaTheme="minorHAnsi"/>
        </w:rPr>
        <w:t>presupuestación</w:t>
      </w:r>
      <w:proofErr w:type="spellEnd"/>
      <w:r>
        <w:rPr>
          <w:rStyle w:val="TextoindependienteCar"/>
          <w:rFonts w:eastAsiaTheme="minorHAnsi"/>
        </w:rPr>
        <w:t>, mediante pruebas y/o concursos (internos o abiertos),</w:t>
      </w:r>
      <w:r w:rsidRPr="00222902">
        <w:rPr>
          <w:rStyle w:val="TextoindependienteCar"/>
          <w:rFonts w:eastAsiaTheme="minorHAnsi"/>
        </w:rPr>
        <w:t xml:space="preserve"> a </w:t>
      </w:r>
      <w:r>
        <w:rPr>
          <w:rStyle w:val="TextoindependienteCar"/>
          <w:rFonts w:eastAsiaTheme="minorHAnsi"/>
        </w:rPr>
        <w:t xml:space="preserve">la mayor parte del </w:t>
      </w:r>
      <w:r w:rsidRPr="00222902">
        <w:rPr>
          <w:rStyle w:val="TextoindependienteCar"/>
          <w:rFonts w:eastAsiaTheme="minorHAnsi"/>
        </w:rPr>
        <w:t>personal</w:t>
      </w:r>
      <w:r>
        <w:rPr>
          <w:rStyle w:val="TextoindependienteCar"/>
          <w:rFonts w:eastAsiaTheme="minorHAnsi"/>
        </w:rPr>
        <w:t xml:space="preserve"> que venía arrastrando situaciones contractuales de tipo irregular, defectuosa o </w:t>
      </w:r>
      <w:r>
        <w:rPr>
          <w:rStyle w:val="TextoindependienteCar"/>
          <w:rFonts w:eastAsiaTheme="minorHAnsi"/>
        </w:rPr>
        <w:lastRenderedPageBreak/>
        <w:t>contradictoria con los mencionados decretos; esto, entre otras cosas, implicó que se liberara gasto en funcionamiento y se incrementara el gasto en personal.</w:t>
      </w:r>
    </w:p>
    <w:p w:rsidR="00AC2EEE" w:rsidRDefault="00AC2EEE" w:rsidP="0059386E">
      <w:pPr>
        <w:spacing w:line="360" w:lineRule="auto"/>
        <w:jc w:val="both"/>
        <w:rPr>
          <w:rFonts w:ascii="Times New Roman" w:hAnsi="Times New Roman" w:cs="Times New Roman"/>
          <w:sz w:val="24"/>
          <w:szCs w:val="24"/>
        </w:rPr>
      </w:pPr>
      <w:r>
        <w:rPr>
          <w:rStyle w:val="TextoindependienteCar"/>
          <w:rFonts w:eastAsiaTheme="minorHAnsi"/>
        </w:rPr>
        <w:t xml:space="preserve">Si miramos la asignación presupuestal en funcionamiento por unidad ejecutora vemos los siguientes datos según el gráfico que se presenta a continuación. </w:t>
      </w:r>
    </w:p>
    <w:p w:rsidR="005D5260" w:rsidRDefault="005D5260" w:rsidP="00D130A4">
      <w:pPr>
        <w:spacing w:line="360" w:lineRule="auto"/>
        <w:jc w:val="both"/>
        <w:rPr>
          <w:rFonts w:ascii="Times New Roman" w:hAnsi="Times New Roman" w:cs="Times New Roman"/>
          <w:sz w:val="24"/>
          <w:szCs w:val="24"/>
        </w:rPr>
      </w:pPr>
      <w:r w:rsidRPr="00BA2940">
        <w:rPr>
          <w:noProof/>
          <w:lang w:val="es-UY" w:eastAsia="es-UY"/>
        </w:rPr>
        <w:drawing>
          <wp:inline distT="0" distB="0" distL="0" distR="0" wp14:anchorId="1124818A" wp14:editId="16706BBB">
            <wp:extent cx="6631305" cy="3061252"/>
            <wp:effectExtent l="0" t="0" r="0" b="0"/>
            <wp:docPr id="8" name="Gráfico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D1337F" w:rsidRPr="00077CE3" w:rsidRDefault="00D1337F" w:rsidP="00D130A4">
      <w:pPr>
        <w:spacing w:after="240" w:line="360" w:lineRule="auto"/>
        <w:jc w:val="center"/>
        <w:rPr>
          <w:rFonts w:ascii="Times New Roman" w:hAnsi="Times New Roman" w:cs="Times New Roman"/>
          <w:sz w:val="16"/>
          <w:szCs w:val="16"/>
        </w:rPr>
      </w:pPr>
      <w:r w:rsidRPr="00077CE3">
        <w:rPr>
          <w:rFonts w:ascii="Times New Roman" w:hAnsi="Times New Roman" w:cs="Times New Roman"/>
          <w:sz w:val="16"/>
          <w:szCs w:val="16"/>
        </w:rPr>
        <w:t>Fuente: Elaboración propia en base a datos del Portal de Transparencia Presupuestaria de la Oficina de Planeamiento y Presupuesto de Presidencia de la República.</w:t>
      </w:r>
    </w:p>
    <w:p w:rsidR="00D1337F" w:rsidRDefault="00AC2EEE" w:rsidP="00D130A4">
      <w:pPr>
        <w:spacing w:line="360" w:lineRule="auto"/>
        <w:jc w:val="both"/>
        <w:rPr>
          <w:rFonts w:ascii="Times New Roman" w:hAnsi="Times New Roman" w:cs="Times New Roman"/>
          <w:sz w:val="24"/>
          <w:szCs w:val="24"/>
        </w:rPr>
      </w:pPr>
      <w:r>
        <w:rPr>
          <w:rFonts w:ascii="Times New Roman" w:hAnsi="Times New Roman" w:cs="Times New Roman"/>
          <w:sz w:val="24"/>
          <w:szCs w:val="24"/>
        </w:rPr>
        <w:t>Con estos datos se puede ver que las UE que explican el mayor porcentaje de asignación presupuestal en general también son las que se tienen los mayores porcentajes de asignación en funcionamiento. Las cuatro contratan diversos tipos de profesionales en las artes y la cultura, otorgan premios, financian eventos y organizan los suyos, todos estos son gastos de este tipo (entre otros). Aquí también se puede apreciar el fenómeno de desconcentración presupuestal que viene llevando adelante el MEC y que el SODRE es la UE que tiene el mayor porcentaje de asignación para funcionamiento.</w:t>
      </w:r>
      <w:r w:rsidR="00475577">
        <w:rPr>
          <w:rFonts w:ascii="Times New Roman" w:hAnsi="Times New Roman" w:cs="Times New Roman"/>
          <w:sz w:val="24"/>
          <w:szCs w:val="24"/>
        </w:rPr>
        <w:t xml:space="preserve"> Un punto que </w:t>
      </w:r>
      <w:r w:rsidR="00D1337F">
        <w:rPr>
          <w:rFonts w:ascii="Times New Roman" w:hAnsi="Times New Roman" w:cs="Times New Roman"/>
          <w:sz w:val="24"/>
          <w:szCs w:val="24"/>
        </w:rPr>
        <w:t>llama la atención es la falta de asignación presupuestal adicional para la Biblioteca Nacional en el año 2016, bicentenario de su fundación</w:t>
      </w:r>
      <w:r w:rsidR="00B71972">
        <w:rPr>
          <w:rFonts w:ascii="Times New Roman" w:hAnsi="Times New Roman" w:cs="Times New Roman"/>
          <w:sz w:val="24"/>
          <w:szCs w:val="24"/>
        </w:rPr>
        <w:t>, siendo 1,5% del total, debajo de su promedio de los últimos 20 año</w:t>
      </w:r>
      <w:r w:rsidR="00BB47EA">
        <w:rPr>
          <w:rFonts w:ascii="Times New Roman" w:hAnsi="Times New Roman" w:cs="Times New Roman"/>
          <w:sz w:val="24"/>
          <w:szCs w:val="24"/>
        </w:rPr>
        <w:t>s</w:t>
      </w:r>
      <w:r w:rsidR="00B71972">
        <w:rPr>
          <w:rFonts w:ascii="Times New Roman" w:hAnsi="Times New Roman" w:cs="Times New Roman"/>
          <w:sz w:val="24"/>
          <w:szCs w:val="24"/>
        </w:rPr>
        <w:t xml:space="preserve"> que ha sido de 2,4%.</w:t>
      </w:r>
    </w:p>
    <w:p w:rsidR="00475577" w:rsidRDefault="00475577" w:rsidP="00D130A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Viendo el gasto en términos de inversión, se comprenden algunos puntos que llamaron la atención en páginas anteriores, al tiempo que aparecen algunos fenómenos nuevos. </w:t>
      </w:r>
    </w:p>
    <w:p w:rsidR="0041214A" w:rsidRDefault="0041214A" w:rsidP="00D130A4">
      <w:pPr>
        <w:spacing w:line="360" w:lineRule="auto"/>
        <w:jc w:val="both"/>
        <w:rPr>
          <w:rFonts w:ascii="Times New Roman" w:hAnsi="Times New Roman" w:cs="Times New Roman"/>
          <w:sz w:val="24"/>
          <w:szCs w:val="24"/>
          <w:u w:val="single"/>
        </w:rPr>
      </w:pPr>
      <w:r w:rsidRPr="0054068B">
        <w:rPr>
          <w:b/>
          <w:noProof/>
          <w:lang w:val="es-UY" w:eastAsia="es-UY"/>
        </w:rPr>
        <w:lastRenderedPageBreak/>
        <w:drawing>
          <wp:inline distT="0" distB="0" distL="0" distR="0" wp14:anchorId="1A9CD62C" wp14:editId="22F48BBA">
            <wp:extent cx="6647180" cy="2935301"/>
            <wp:effectExtent l="0" t="0" r="0" b="0"/>
            <wp:docPr id="10" name="Gráfico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9A00EF" w:rsidRPr="00077CE3" w:rsidRDefault="009A00EF" w:rsidP="00D130A4">
      <w:pPr>
        <w:spacing w:after="240" w:line="360" w:lineRule="auto"/>
        <w:jc w:val="center"/>
        <w:rPr>
          <w:rFonts w:ascii="Times New Roman" w:hAnsi="Times New Roman" w:cs="Times New Roman"/>
          <w:sz w:val="16"/>
          <w:szCs w:val="16"/>
        </w:rPr>
      </w:pPr>
      <w:r w:rsidRPr="00077CE3">
        <w:rPr>
          <w:rFonts w:ascii="Times New Roman" w:hAnsi="Times New Roman" w:cs="Times New Roman"/>
          <w:sz w:val="16"/>
          <w:szCs w:val="16"/>
        </w:rPr>
        <w:t>Fuente: Elaboración propia en base a datos del Portal de Transparencia Presupuestaria de la Oficina de Planeamiento y Presupuesto de Presidencia de la República.</w:t>
      </w:r>
    </w:p>
    <w:p w:rsidR="0092238F" w:rsidRDefault="00475577" w:rsidP="00D130A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Lo primero, fenómeno ya recurrente, es que la UE del SODRE es la que históricamente ha tenido la mayor asignación presupuestal en términos de inversión, de los años 1999 a 2001 se explica el primero pico de la asignación presupuestal total con las obras de la Sala Hugo Balzo y le culminación del llamado cerramiento acústico de la sala principal (Eduardo </w:t>
      </w:r>
      <w:proofErr w:type="spellStart"/>
      <w:r>
        <w:rPr>
          <w:rFonts w:ascii="Times New Roman" w:hAnsi="Times New Roman" w:cs="Times New Roman"/>
          <w:sz w:val="24"/>
          <w:szCs w:val="24"/>
        </w:rPr>
        <w:t>Fabini</w:t>
      </w:r>
      <w:proofErr w:type="spellEnd"/>
      <w:r>
        <w:rPr>
          <w:rFonts w:ascii="Times New Roman" w:hAnsi="Times New Roman" w:cs="Times New Roman"/>
          <w:sz w:val="24"/>
          <w:szCs w:val="24"/>
        </w:rPr>
        <w:t xml:space="preserve">) del Auditorio Adela Reta, al tiempo que el pico del 2008 se explica en buena medida con la asignación para la culminación de la obra del mencionado auditorio. </w:t>
      </w:r>
      <w:r w:rsidR="002F51D0">
        <w:rPr>
          <w:rFonts w:ascii="Times New Roman" w:hAnsi="Times New Roman" w:cs="Times New Roman"/>
          <w:sz w:val="24"/>
          <w:szCs w:val="24"/>
        </w:rPr>
        <w:t xml:space="preserve">El fenómeno de la desconcentración se mantiene aunque esta vez el movimiento es desde el SODRE al resto de las UE. A su vez, las tareas de la Comisión del Patrimonio Cultural de la Nación explican que en este tipo de gasto tenga cierto destaque, con un pico en 2016 del 9,2% y un promedio en el total de la serie de 5,2%. Puntos a destacar son </w:t>
      </w:r>
      <w:r w:rsidR="006E2CF9">
        <w:rPr>
          <w:rFonts w:ascii="Times New Roman" w:hAnsi="Times New Roman" w:cs="Times New Roman"/>
          <w:sz w:val="24"/>
          <w:szCs w:val="24"/>
        </w:rPr>
        <w:t xml:space="preserve">los altos porcentajes de asignación para la UE 24 en 2005 y 2006 que se explican en un </w:t>
      </w:r>
      <w:r w:rsidR="0092238F">
        <w:rPr>
          <w:rFonts w:ascii="Times New Roman" w:hAnsi="Times New Roman" w:cs="Times New Roman"/>
          <w:sz w:val="24"/>
          <w:szCs w:val="24"/>
        </w:rPr>
        <w:t xml:space="preserve">proceso de actualización TNU, algo similar aunque en menor medía se podría verificar a partir de 2015 con la creación del SECAN. El último punto es el de la Dirección Nacional de Cultura y que a partir de 2011 ha tenido un paulatino crecimiento en su asignación presupuestal en este tipo de gasto. </w:t>
      </w:r>
    </w:p>
    <w:p w:rsidR="0092238F" w:rsidRPr="00475577" w:rsidRDefault="0092238F" w:rsidP="00D130A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El último tipo de gasto que destacamos es el de personal que, básicamente nos muestra movimientos que ya venimos verificando en las páginas anteriores. </w:t>
      </w:r>
    </w:p>
    <w:p w:rsidR="00744434" w:rsidRDefault="00AB2794" w:rsidP="00D130A4">
      <w:pPr>
        <w:spacing w:line="360" w:lineRule="auto"/>
        <w:jc w:val="both"/>
        <w:rPr>
          <w:rFonts w:ascii="Times New Roman" w:hAnsi="Times New Roman" w:cs="Times New Roman"/>
          <w:sz w:val="24"/>
          <w:szCs w:val="24"/>
          <w:u w:val="single"/>
        </w:rPr>
      </w:pPr>
      <w:r>
        <w:rPr>
          <w:noProof/>
          <w:lang w:val="es-UY" w:eastAsia="es-UY"/>
        </w:rPr>
        <w:lastRenderedPageBreak/>
        <w:drawing>
          <wp:inline distT="0" distB="0" distL="0" distR="0" wp14:anchorId="16E9B824" wp14:editId="1FAB5657">
            <wp:extent cx="6645910" cy="4019550"/>
            <wp:effectExtent l="0" t="0" r="0" b="0"/>
            <wp:docPr id="7" name="Gráfico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744434" w:rsidRPr="00744434" w:rsidRDefault="00744434" w:rsidP="00D130A4">
      <w:pPr>
        <w:spacing w:line="360" w:lineRule="auto"/>
        <w:jc w:val="both"/>
        <w:rPr>
          <w:rFonts w:ascii="Times New Roman" w:hAnsi="Times New Roman" w:cs="Times New Roman"/>
          <w:sz w:val="24"/>
          <w:szCs w:val="24"/>
        </w:rPr>
      </w:pPr>
      <w:r w:rsidRPr="00744434">
        <w:rPr>
          <w:rFonts w:ascii="Times New Roman" w:hAnsi="Times New Roman" w:cs="Times New Roman"/>
          <w:sz w:val="24"/>
          <w:szCs w:val="24"/>
        </w:rPr>
        <w:t xml:space="preserve">El </w:t>
      </w:r>
      <w:r>
        <w:rPr>
          <w:rFonts w:ascii="Times New Roman" w:hAnsi="Times New Roman" w:cs="Times New Roman"/>
          <w:sz w:val="24"/>
          <w:szCs w:val="24"/>
        </w:rPr>
        <w:t>Archivo General de la Nación, que hasta ahora prácticamente no aparecía, es una de las UE más intensivas en presupuesto de Personal</w:t>
      </w:r>
      <w:r w:rsidR="00885764">
        <w:rPr>
          <w:rFonts w:ascii="Times New Roman" w:hAnsi="Times New Roman" w:cs="Times New Roman"/>
          <w:sz w:val="24"/>
          <w:szCs w:val="24"/>
        </w:rPr>
        <w:t xml:space="preserve"> con un promedio de asignación del 6,9%. Sumado a esto, otro punto que llama la atención es el de la UE 24 del SECAN en 2018 se lleva un 20,8% de la asignación presupuestal, esto también se explica en que las instituciones que lo componen y el servicio que se brinda a la ciudadanía es sumamente intensivo en personal con las estructuras que existen hoy día. </w:t>
      </w:r>
      <w:r w:rsidR="0092238F">
        <w:rPr>
          <w:rFonts w:ascii="Times New Roman" w:hAnsi="Times New Roman" w:cs="Times New Roman"/>
          <w:sz w:val="24"/>
          <w:szCs w:val="24"/>
        </w:rPr>
        <w:t xml:space="preserve">Otro punto destacable es que la UE 1, Dirección General de Secretaría, tienen el mayor promedio de asignación presupuestal en personal a lo largo de toda la serie con 38%, secundado por la UE 16 del SODRE con un 33,6%. Este fenómeno se explica en que buena parte de los trabajadores de la cultura son de la UE 1 aunque desempeñen tareas en otro lugar. </w:t>
      </w:r>
    </w:p>
    <w:p w:rsidR="00A533E8" w:rsidRDefault="00445C93" w:rsidP="00D130A4">
      <w:pPr>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De la ejecución presupuestal</w:t>
      </w:r>
    </w:p>
    <w:p w:rsidR="00445C93" w:rsidRDefault="00445C93" w:rsidP="00D130A4">
      <w:pPr>
        <w:spacing w:line="360" w:lineRule="auto"/>
        <w:jc w:val="both"/>
        <w:rPr>
          <w:rFonts w:ascii="Times New Roman" w:hAnsi="Times New Roman" w:cs="Times New Roman"/>
          <w:sz w:val="24"/>
          <w:szCs w:val="24"/>
        </w:rPr>
      </w:pPr>
      <w:r>
        <w:rPr>
          <w:rFonts w:ascii="Times New Roman" w:hAnsi="Times New Roman" w:cs="Times New Roman"/>
          <w:sz w:val="24"/>
          <w:szCs w:val="24"/>
        </w:rPr>
        <w:t>Un punto aparte debe considerarse para la ejecución</w:t>
      </w:r>
      <w:r w:rsidR="00793FD5">
        <w:rPr>
          <w:rFonts w:ascii="Times New Roman" w:hAnsi="Times New Roman" w:cs="Times New Roman"/>
          <w:sz w:val="24"/>
          <w:szCs w:val="24"/>
        </w:rPr>
        <w:t xml:space="preserve">. Partiendo de la base de que ella nos habla de la eficiencia de ese inciso o unidad ejecutora para llevar adelante sus políticas en términos de presupuesto, una mirada a lo que ha hecho el MEC y en particular las unidades ejecutoras de cultura que reciben más asignación presupuestal es lo que se propone en este breve apartado. </w:t>
      </w:r>
    </w:p>
    <w:p w:rsidR="00D7734C" w:rsidRPr="009E63FC" w:rsidRDefault="00512E59" w:rsidP="00D130A4">
      <w:pPr>
        <w:spacing w:line="360" w:lineRule="auto"/>
        <w:jc w:val="both"/>
        <w:rPr>
          <w:rFonts w:ascii="Times New Roman" w:hAnsi="Times New Roman" w:cs="Times New Roman"/>
          <w:sz w:val="24"/>
          <w:szCs w:val="24"/>
        </w:rPr>
      </w:pPr>
      <w:r>
        <w:rPr>
          <w:noProof/>
          <w:lang w:val="es-UY" w:eastAsia="es-UY"/>
        </w:rPr>
        <w:lastRenderedPageBreak/>
        <w:drawing>
          <wp:inline distT="0" distB="0" distL="0" distR="0" wp14:anchorId="65463819" wp14:editId="7BDBE95E">
            <wp:extent cx="6645910" cy="3690620"/>
            <wp:effectExtent l="0" t="0" r="0" b="0"/>
            <wp:docPr id="6" name="Gráfico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D118C8" w:rsidRDefault="0092238F" w:rsidP="0092238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Tomar esto como base para hablar de la eficiencia de las políticas culturales sería un error garrafal, pero no hacerlo es una omisión que quienes hacemos gestión cultural no podemos permitirnos. </w:t>
      </w:r>
    </w:p>
    <w:p w:rsidR="0059386E" w:rsidRDefault="0059386E" w:rsidP="00D130A4">
      <w:pPr>
        <w:spacing w:after="240"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Notas finales</w:t>
      </w:r>
    </w:p>
    <w:p w:rsidR="0092238F" w:rsidRPr="0092238F" w:rsidRDefault="006D78C4" w:rsidP="00D130A4">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Inamovilidad aparente. </w:t>
      </w:r>
      <w:bookmarkStart w:id="0" w:name="_GoBack"/>
      <w:bookmarkEnd w:id="0"/>
    </w:p>
    <w:p w:rsidR="0092238F" w:rsidRDefault="0092238F" w:rsidP="00D130A4">
      <w:pPr>
        <w:spacing w:after="240" w:line="360" w:lineRule="auto"/>
        <w:jc w:val="both"/>
        <w:rPr>
          <w:rFonts w:ascii="Times New Roman" w:hAnsi="Times New Roman" w:cs="Times New Roman"/>
          <w:sz w:val="24"/>
          <w:szCs w:val="24"/>
          <w:u w:val="single"/>
        </w:rPr>
      </w:pPr>
    </w:p>
    <w:p w:rsidR="00060304" w:rsidRPr="0059386E" w:rsidRDefault="00060304" w:rsidP="00D130A4">
      <w:pPr>
        <w:spacing w:after="240" w:line="360" w:lineRule="auto"/>
        <w:jc w:val="both"/>
        <w:rPr>
          <w:rFonts w:ascii="Times New Roman" w:hAnsi="Times New Roman" w:cs="Times New Roman"/>
          <w:sz w:val="24"/>
          <w:szCs w:val="24"/>
          <w:u w:val="single"/>
        </w:rPr>
      </w:pPr>
      <w:r w:rsidRPr="0059386E">
        <w:rPr>
          <w:rFonts w:ascii="Times New Roman" w:hAnsi="Times New Roman" w:cs="Times New Roman"/>
          <w:sz w:val="24"/>
          <w:szCs w:val="24"/>
          <w:u w:val="single"/>
        </w:rPr>
        <w:t>Bibliografía</w:t>
      </w:r>
    </w:p>
    <w:p w:rsidR="0092238F" w:rsidRDefault="0092238F" w:rsidP="00D130A4">
      <w:pPr>
        <w:spacing w:after="240" w:line="360" w:lineRule="auto"/>
        <w:jc w:val="both"/>
      </w:pPr>
    </w:p>
    <w:p w:rsidR="00060304" w:rsidRDefault="00060304" w:rsidP="00D130A4">
      <w:pPr>
        <w:spacing w:after="240" w:line="360" w:lineRule="auto"/>
        <w:jc w:val="both"/>
      </w:pPr>
      <w:r>
        <w:t xml:space="preserve">Teixeira Coelho, Diccionario crítico de política cultural, São Paulo, </w:t>
      </w:r>
      <w:proofErr w:type="spellStart"/>
      <w:r>
        <w:t>Iluminuras</w:t>
      </w:r>
      <w:proofErr w:type="spellEnd"/>
      <w:r>
        <w:t>, 1997, p. 292.</w:t>
      </w:r>
    </w:p>
    <w:p w:rsidR="00A86CFB" w:rsidRDefault="00A86CFB" w:rsidP="00475577">
      <w:pPr>
        <w:spacing w:after="240" w:line="360" w:lineRule="auto"/>
        <w:jc w:val="both"/>
        <w:rPr>
          <w:rFonts w:ascii="Times New Roman" w:hAnsi="Times New Roman" w:cs="Times New Roman"/>
          <w:sz w:val="24"/>
          <w:szCs w:val="24"/>
        </w:rPr>
      </w:pPr>
      <w:r>
        <w:t xml:space="preserve">INÉS DE TORRES Aportes para la historia de la radiodifusión como servicio público. El </w:t>
      </w:r>
      <w:proofErr w:type="spellStart"/>
      <w:r>
        <w:t>Sodre</w:t>
      </w:r>
      <w:proofErr w:type="spellEnd"/>
      <w:r>
        <w:t xml:space="preserve"> de Uruguay: una propuesta innovadora en el contexto hispanoamericano. </w:t>
      </w:r>
      <w:proofErr w:type="spellStart"/>
      <w:r>
        <w:t>Question</w:t>
      </w:r>
      <w:proofErr w:type="spellEnd"/>
      <w:r>
        <w:t xml:space="preserve">, v.: 1 48, 2015 </w:t>
      </w:r>
    </w:p>
    <w:sectPr w:rsidR="00A86CFB" w:rsidSect="00B04CB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1910" w:rsidRDefault="00791910" w:rsidP="00CF62C9">
      <w:pPr>
        <w:spacing w:after="0" w:line="240" w:lineRule="auto"/>
      </w:pPr>
      <w:r>
        <w:separator/>
      </w:r>
    </w:p>
  </w:endnote>
  <w:endnote w:type="continuationSeparator" w:id="0">
    <w:p w:rsidR="00791910" w:rsidRDefault="00791910" w:rsidP="00CF62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1910" w:rsidRDefault="00791910" w:rsidP="00CF62C9">
      <w:pPr>
        <w:spacing w:after="0" w:line="240" w:lineRule="auto"/>
      </w:pPr>
      <w:r>
        <w:separator/>
      </w:r>
    </w:p>
  </w:footnote>
  <w:footnote w:type="continuationSeparator" w:id="0">
    <w:p w:rsidR="00791910" w:rsidRDefault="00791910" w:rsidP="00CF62C9">
      <w:pPr>
        <w:spacing w:after="0" w:line="240" w:lineRule="auto"/>
      </w:pPr>
      <w:r>
        <w:continuationSeparator/>
      </w:r>
    </w:p>
  </w:footnote>
  <w:footnote w:id="1">
    <w:p w:rsidR="004C39D2" w:rsidRDefault="004C39D2" w:rsidP="004C39D2">
      <w:pPr>
        <w:pStyle w:val="Textonotapie"/>
        <w:jc w:val="both"/>
        <w:rPr>
          <w:lang w:val="es-UY"/>
        </w:rPr>
      </w:pPr>
      <w:r>
        <w:rPr>
          <w:rStyle w:val="Refdenotaalpie"/>
        </w:rPr>
        <w:footnoteRef/>
      </w:r>
      <w:r>
        <w:t xml:space="preserve"> La Declaración Universal de los Derechos Humanos (1948) en su </w:t>
      </w:r>
      <w:r>
        <w:rPr>
          <w:lang w:val="es-UY"/>
        </w:rPr>
        <w:t xml:space="preserve">Artículo 27 establece que: </w:t>
      </w:r>
    </w:p>
    <w:p w:rsidR="004C39D2" w:rsidRPr="005256D2" w:rsidRDefault="004C39D2" w:rsidP="004C39D2">
      <w:pPr>
        <w:pStyle w:val="Textonotapie"/>
        <w:numPr>
          <w:ilvl w:val="0"/>
          <w:numId w:val="7"/>
        </w:numPr>
        <w:jc w:val="both"/>
      </w:pPr>
      <w:r w:rsidRPr="005256D2">
        <w:rPr>
          <w:lang w:val="es-UY"/>
        </w:rPr>
        <w:t>Toda persona tiene derecho a tomar parte libremente en la vida cultural de la comunidad, a gozar de las artes y a participar en el progreso científico y en los beneficios que de él resulten</w:t>
      </w:r>
      <w:r>
        <w:rPr>
          <w:lang w:val="es-UY"/>
        </w:rPr>
        <w:t>.</w:t>
      </w:r>
    </w:p>
    <w:p w:rsidR="004C39D2" w:rsidRPr="00D07DCC" w:rsidRDefault="004C39D2" w:rsidP="004C39D2">
      <w:pPr>
        <w:pStyle w:val="Textonotapie"/>
        <w:numPr>
          <w:ilvl w:val="0"/>
          <w:numId w:val="7"/>
        </w:numPr>
        <w:jc w:val="both"/>
      </w:pPr>
      <w:r w:rsidRPr="005256D2">
        <w:rPr>
          <w:lang w:val="es-UY"/>
        </w:rPr>
        <w:t>Toda persona tiene derecho a la protección de los intereses morales y materiales que le correspondan por razón de las producciones científicas, literarias o artísticas de que sea autora.”</w:t>
      </w:r>
    </w:p>
    <w:p w:rsidR="004C39D2" w:rsidRDefault="004C39D2" w:rsidP="004C39D2">
      <w:pPr>
        <w:pStyle w:val="Textonotapie"/>
        <w:jc w:val="both"/>
        <w:rPr>
          <w:lang w:val="es-UY"/>
        </w:rPr>
      </w:pPr>
      <w:r>
        <w:rPr>
          <w:lang w:val="es-UY"/>
        </w:rPr>
        <w:t>A su vez, en el Pacto Internacional de Derechos Económicos, Sociales y Culturales (1966), en su Artículo 6 se establece que:</w:t>
      </w:r>
      <w:r w:rsidRPr="00C74D0A">
        <w:rPr>
          <w:lang w:val="es-UY"/>
        </w:rPr>
        <w:t xml:space="preserve"> </w:t>
      </w:r>
    </w:p>
    <w:p w:rsidR="004C39D2" w:rsidRPr="00D07DCC" w:rsidRDefault="004C39D2" w:rsidP="004C39D2">
      <w:pPr>
        <w:pStyle w:val="Textonotapie"/>
        <w:numPr>
          <w:ilvl w:val="0"/>
          <w:numId w:val="5"/>
        </w:numPr>
        <w:jc w:val="both"/>
      </w:pPr>
      <w:r w:rsidRPr="00C74D0A">
        <w:rPr>
          <w:lang w:val="es-UY"/>
        </w:rPr>
        <w:t xml:space="preserve">Entre las medidas que habrá de adoptar cada uno de los Estados Partes en el presente Pacto para lograr la plena efectividad de este derecho deberá figurar la </w:t>
      </w:r>
      <w:r w:rsidR="001875D4">
        <w:rPr>
          <w:lang w:val="es-UY"/>
        </w:rPr>
        <w:t>orientación y formación té</w:t>
      </w:r>
      <w:r w:rsidRPr="00C74D0A">
        <w:rPr>
          <w:lang w:val="es-UY"/>
        </w:rPr>
        <w:t>cnico</w:t>
      </w:r>
      <w:r w:rsidR="001875D4">
        <w:rPr>
          <w:lang w:val="es-UY"/>
        </w:rPr>
        <w:t>-</w:t>
      </w:r>
      <w:r w:rsidRPr="00C74D0A">
        <w:rPr>
          <w:lang w:val="es-UY"/>
        </w:rPr>
        <w:t>profesional, la preparación de programas, normas y técnicas encaminadas a conseguir un desarrollo económico, social y cultural constante y la ocupación plena y productiva, en condiciones que garanticen las libertades políticas y económicas fundamentales de la persona humana.</w:t>
      </w:r>
    </w:p>
  </w:footnote>
  <w:footnote w:id="2">
    <w:p w:rsidR="00D130A4" w:rsidRPr="00D130A4" w:rsidRDefault="00D130A4">
      <w:pPr>
        <w:pStyle w:val="Textonotapie"/>
      </w:pPr>
      <w:r>
        <w:rPr>
          <w:rStyle w:val="Refdenotaalpie"/>
        </w:rPr>
        <w:footnoteRef/>
      </w:r>
      <w:r>
        <w:t xml:space="preserve"> Extraído de: </w:t>
      </w:r>
      <w:r w:rsidRPr="00D130A4">
        <w:t>https://transparenciapresupuestaria.opp.gub.uy/inicio/presupuesto-nacional</w:t>
      </w:r>
    </w:p>
  </w:footnote>
  <w:footnote w:id="3">
    <w:p w:rsidR="003E7634" w:rsidRPr="003E7634" w:rsidRDefault="003E7634">
      <w:pPr>
        <w:pStyle w:val="Textonotapie"/>
      </w:pPr>
      <w:r>
        <w:rPr>
          <w:rStyle w:val="Refdenotaalpie"/>
        </w:rPr>
        <w:footnoteRef/>
      </w:r>
      <w:r>
        <w:t xml:space="preserve"> Extraído de: </w:t>
      </w:r>
      <w:r w:rsidRPr="003E7634">
        <w:t>https://transparenciapresupuestaria.opp.gub.uy</w:t>
      </w:r>
    </w:p>
  </w:footnote>
  <w:footnote w:id="4">
    <w:p w:rsidR="007C27EB" w:rsidRPr="007C27EB" w:rsidRDefault="007C27EB">
      <w:pPr>
        <w:pStyle w:val="Textonotapie"/>
      </w:pPr>
      <w:r>
        <w:rPr>
          <w:rStyle w:val="Refdenotaalpie"/>
        </w:rPr>
        <w:footnoteRef/>
      </w:r>
      <w:r>
        <w:t xml:space="preserve"> Ibídem. Los otros dos programas son “Deporte Comunitario” y “Deporte Federado”.  </w:t>
      </w:r>
    </w:p>
  </w:footnote>
  <w:footnote w:id="5">
    <w:p w:rsidR="00E33525" w:rsidRPr="00E33525" w:rsidRDefault="00E33525">
      <w:pPr>
        <w:pStyle w:val="Textonotapie"/>
      </w:pPr>
      <w:r>
        <w:rPr>
          <w:rStyle w:val="Refdenotaalpie"/>
        </w:rPr>
        <w:footnoteRef/>
      </w:r>
      <w:r>
        <w:t xml:space="preserve"> Ya sea por asignación directa o mediante las categorías “Diversos Créditos” y Subsidios y Subvenciones. </w:t>
      </w:r>
    </w:p>
  </w:footnote>
  <w:footnote w:id="6">
    <w:p w:rsidR="000A7FF3" w:rsidRPr="000A7FF3" w:rsidRDefault="000A7FF3">
      <w:pPr>
        <w:pStyle w:val="Textonotapie"/>
      </w:pPr>
      <w:r>
        <w:rPr>
          <w:rStyle w:val="Refdenotaalpie"/>
        </w:rPr>
        <w:footnoteRef/>
      </w:r>
      <w:r>
        <w:t xml:space="preserve"> </w:t>
      </w:r>
      <w:r>
        <w:t xml:space="preserve">Extraído de: </w:t>
      </w:r>
      <w:r w:rsidRPr="00D130A4">
        <w:t>https://transparenciapresupuestaria.opp.gub.uy/inicio/presupuesto-nacional</w:t>
      </w:r>
    </w:p>
  </w:footnote>
  <w:footnote w:id="7">
    <w:p w:rsidR="0077317A" w:rsidRDefault="000A7FF3" w:rsidP="000A7FF3">
      <w:pPr>
        <w:pStyle w:val="Textonotapie"/>
        <w:jc w:val="both"/>
      </w:pPr>
      <w:r>
        <w:rPr>
          <w:rStyle w:val="Refdenotaalpie"/>
        </w:rPr>
        <w:footnoteRef/>
      </w:r>
      <w:r>
        <w:t xml:space="preserve"> </w:t>
      </w:r>
      <w:r>
        <w:t xml:space="preserve">Dos aclaraciones son fundamentales. </w:t>
      </w:r>
      <w:r w:rsidR="0077317A">
        <w:t>La primera es que</w:t>
      </w:r>
      <w:r>
        <w:t>, dado el recorte temporal con el que se trabaja y los datos e información de la que se dispone, se incluye la Unidad Ejecutora Dirección General de Secretaría en su totalidad, a sabiendas de que es una decisión cuestionable. Sin embargo, no incluirlo sería tan cuestionable como hacer en tanto hasta el año 2008</w:t>
      </w:r>
      <w:r w:rsidR="0077317A">
        <w:t xml:space="preserve"> por ejemplo, su presupuesto incluía prácticamente todas las tareas y funcionarios de la Dirección de Cultura, así como de otras Direcciones y unidades ejecutoras (muchos funcionarios son de esa UE aunque desempeñen tareas en otras, así como muchos de los que allí trabajan realizan tareas vinculadas al quehacer cultural).</w:t>
      </w:r>
      <w:r>
        <w:t xml:space="preserve"> </w:t>
      </w:r>
    </w:p>
    <w:p w:rsidR="000A7FF3" w:rsidRPr="00B5369E" w:rsidRDefault="0077317A" w:rsidP="000A7FF3">
      <w:pPr>
        <w:pStyle w:val="Textonotapie"/>
        <w:jc w:val="both"/>
      </w:pPr>
      <w:r>
        <w:t xml:space="preserve">La segunda aclaración es </w:t>
      </w:r>
      <w:r w:rsidR="000A7FF3">
        <w:t xml:space="preserve">que </w:t>
      </w:r>
      <w:r>
        <w:t>no está incluida la Dirección de Centros MEC como Uni</w:t>
      </w:r>
      <w:r w:rsidR="00130573">
        <w:t xml:space="preserve">dad Ejecutora (su número es el </w:t>
      </w:r>
      <w:r>
        <w:t xml:space="preserve">05) creada el Artículo 120 de la Ley </w:t>
      </w:r>
      <w:r w:rsidR="000A7FF3">
        <w:t>19.535 de Rendición de Cuentas y Balance de Ejecución Presupuestal correspondiente al ejercicio 2016, aprobada y publicada en setiembre de 2017</w:t>
      </w:r>
      <w:r w:rsidR="00130573">
        <w:t>. L</w:t>
      </w:r>
      <w:r>
        <w:t>os datos presupuestales de la misma aún no están disponibles</w:t>
      </w:r>
      <w:r w:rsidR="00130573">
        <w:t xml:space="preserve"> ya que </w:t>
      </w:r>
      <w:r w:rsidR="000A7FF3">
        <w:t>los recursos humanos, financieros y materiales y los créditos presupuestales asignados a la "Dirección de Centros MEC" en la unidad ejecutora 001 "Dirección General</w:t>
      </w:r>
      <w:r w:rsidR="00130573">
        <w:t xml:space="preserve"> de Secretaría" el MEC, aún no han finalizado su proceso de transferencia de una a otra</w:t>
      </w:r>
      <w:r w:rsidR="000A7FF3">
        <w:t xml:space="preserve">. </w:t>
      </w:r>
    </w:p>
  </w:footnote>
  <w:footnote w:id="8">
    <w:p w:rsidR="000A7FF3" w:rsidRDefault="000A7FF3" w:rsidP="000A7FF3">
      <w:pPr>
        <w:pStyle w:val="Textonotapie"/>
        <w:jc w:val="both"/>
        <w:rPr>
          <w:lang w:val="es-UY"/>
        </w:rPr>
      </w:pPr>
      <w:r>
        <w:rPr>
          <w:rStyle w:val="Refdenotaalpie"/>
        </w:rPr>
        <w:footnoteRef/>
      </w:r>
      <w:r>
        <w:t xml:space="preserve"> </w:t>
      </w:r>
      <w:r w:rsidR="00F074E1">
        <w:t>Otras aclaraciones que también se hacen fundamentales para entender el encuadre de este trabajo</w:t>
      </w:r>
      <w:r>
        <w:rPr>
          <w:lang w:val="es-UY"/>
        </w:rPr>
        <w:t xml:space="preserve">. En primer lugar, queda por fuera de este análisis todos aquellos gastos, inversiones, apoyos y/o </w:t>
      </w:r>
      <w:proofErr w:type="spellStart"/>
      <w:r>
        <w:rPr>
          <w:lang w:val="es-UY"/>
        </w:rPr>
        <w:t>esponsoreo</w:t>
      </w:r>
      <w:proofErr w:type="spellEnd"/>
      <w:r>
        <w:rPr>
          <w:lang w:val="es-UY"/>
        </w:rPr>
        <w:t xml:space="preserve"> que realizan tanto cualquiera de los Entes Autónomos y Servicios Descentralizados en función del mismo argumento, la imposibilidad de llegar a ciertos niveles de desagregación de la información que hace casi imposible la tarea para una persona sola; la información existe y está disponible, pero se requiere de un equipo que pueda hacer la recolección de datos de la forma más minuciosa posible, cruzando gastos e inversiones que a priori no son estrictamente culturales dado que esas instituciones no lo fundamentan de tal forma en términos presupuestales. </w:t>
      </w:r>
    </w:p>
    <w:p w:rsidR="000A7FF3" w:rsidRPr="00CF62C9" w:rsidRDefault="000A7FF3" w:rsidP="000A7FF3">
      <w:pPr>
        <w:pStyle w:val="Textonotapie"/>
        <w:jc w:val="both"/>
        <w:rPr>
          <w:lang w:val="es-UY"/>
        </w:rPr>
      </w:pPr>
      <w:r>
        <w:rPr>
          <w:lang w:val="es-UY"/>
        </w:rPr>
        <w:t xml:space="preserve">En este sentido ¿quién podría decir que la construcción del ANTEL Arena no es la construcción de una infraestructura cultural y por tanto esa inversión es una inversión en cultura? Sin embargo, los montos de dinero destinados a ese fin posiblemente nunca serán contados como inversión en cultura. Como este hay cientos de ejemplos como la organización de festivales, los </w:t>
      </w:r>
      <w:proofErr w:type="spellStart"/>
      <w:r>
        <w:rPr>
          <w:lang w:val="es-UY"/>
        </w:rPr>
        <w:t>esponsoreos</w:t>
      </w:r>
      <w:proofErr w:type="spellEnd"/>
      <w:r>
        <w:rPr>
          <w:lang w:val="es-UY"/>
        </w:rPr>
        <w:t xml:space="preserve"> o apoyos a distintos tipos de eventos; pero también hay un sinfín de actividades minúsculas y de montos que pasarían prácticamente desapercibidos por cualquiera que se proponga semejante tarea como puede ser la bajada de luz o el alquiler de generadores por parte de UTE para las fiestas tradicionales, los festejos de las localidades o barrios.</w:t>
      </w:r>
    </w:p>
  </w:footnote>
  <w:footnote w:id="9">
    <w:p w:rsidR="00091826" w:rsidRPr="00091826" w:rsidRDefault="00091826" w:rsidP="00091826">
      <w:pPr>
        <w:pStyle w:val="Textonotapie"/>
        <w:jc w:val="both"/>
      </w:pPr>
      <w:r>
        <w:rPr>
          <w:rStyle w:val="Refdenotaalpie"/>
        </w:rPr>
        <w:footnoteRef/>
      </w:r>
      <w:r>
        <w:t xml:space="preserve"> Algunas de estas Unidades Ejecutoras tienen presupuestos de las áreas programáticas: “Educación”, “Servicios Públicos Generales”, “Ciencia, Tecnología e Innovación”, </w:t>
      </w:r>
    </w:p>
  </w:footnote>
  <w:footnote w:id="10">
    <w:p w:rsidR="000C6EAC" w:rsidRPr="000C6EAC" w:rsidRDefault="000C6EAC">
      <w:pPr>
        <w:pStyle w:val="Textonotapie"/>
      </w:pPr>
      <w:r>
        <w:rPr>
          <w:rStyle w:val="Refdenotaalpie"/>
        </w:rPr>
        <w:footnoteRef/>
      </w:r>
      <w:r>
        <w:t xml:space="preserve"> Los valores están expresados como porcentaje del PIB en pesos corrientes de cada año. </w:t>
      </w:r>
    </w:p>
  </w:footnote>
  <w:footnote w:id="11">
    <w:p w:rsidR="00B777CA" w:rsidRPr="00B777CA" w:rsidRDefault="00B777CA">
      <w:pPr>
        <w:pStyle w:val="Textonotapie"/>
      </w:pPr>
      <w:r>
        <w:rPr>
          <w:rStyle w:val="Refdenotaalpie"/>
        </w:rPr>
        <w:footnoteRef/>
      </w:r>
      <w:r>
        <w:t xml:space="preserve"> Conformado entre otros por Televisión Nacional de Uruguay (TNU ex TVEO) y las Radiodifusión Nacional de Uruguay (RNU ex Radios Públicas del SODRE). </w:t>
      </w:r>
    </w:p>
  </w:footnote>
  <w:footnote w:id="12">
    <w:p w:rsidR="002E5EA9" w:rsidRPr="002E5EA9" w:rsidRDefault="002E5EA9">
      <w:pPr>
        <w:pStyle w:val="Textonotapie"/>
      </w:pPr>
      <w:r>
        <w:rPr>
          <w:rStyle w:val="Refdenotaalpie"/>
        </w:rPr>
        <w:footnoteRef/>
      </w:r>
      <w:r>
        <w:t xml:space="preserve"> Orquesta Sinfónica, Ballet Nacional, Coro Nacional, Conjunto de Música de Cámara, Coro Nacional de Niños).</w:t>
      </w:r>
    </w:p>
  </w:footnote>
  <w:footnote w:id="13">
    <w:p w:rsidR="00CA7BCC" w:rsidRPr="00CA7BCC" w:rsidRDefault="00CA7BCC">
      <w:pPr>
        <w:pStyle w:val="Textonotapie"/>
      </w:pPr>
      <w:r>
        <w:rPr>
          <w:rStyle w:val="Refdenotaalpie"/>
        </w:rPr>
        <w:footnoteRef/>
      </w:r>
      <w:r>
        <w:t xml:space="preserve"> El Artículo 16 de dicho decreto establece que el Comité Coordinador del Sistema Nacional de Museos es presidido por el Director Nacional de Cultura. </w:t>
      </w:r>
    </w:p>
  </w:footnote>
  <w:footnote w:id="14">
    <w:p w:rsidR="0059386E" w:rsidRPr="007F5748" w:rsidRDefault="0059386E" w:rsidP="0059386E">
      <w:pPr>
        <w:pStyle w:val="Textonotapie"/>
        <w:rPr>
          <w:lang w:val="es-UY"/>
        </w:rPr>
      </w:pPr>
      <w:r>
        <w:rPr>
          <w:rStyle w:val="Refdenotaalpie"/>
        </w:rPr>
        <w:footnoteRef/>
      </w:r>
      <w:r>
        <w:t xml:space="preserve"> </w:t>
      </w:r>
      <w:r>
        <w:rPr>
          <w:lang w:val="es-UY"/>
        </w:rPr>
        <w:t xml:space="preserve">Los montos están expresados en pesos corrientes de cada año. </w:t>
      </w:r>
    </w:p>
  </w:footnote>
  <w:footnote w:id="15">
    <w:p w:rsidR="0059386E" w:rsidRPr="00222902" w:rsidRDefault="0059386E" w:rsidP="0059386E">
      <w:pPr>
        <w:pStyle w:val="Textonotapie"/>
        <w:rPr>
          <w:lang w:val="es-UY"/>
        </w:rPr>
      </w:pPr>
      <w:r>
        <w:rPr>
          <w:rStyle w:val="Refdenotaalpie"/>
        </w:rPr>
        <w:footnoteRef/>
      </w:r>
      <w:r>
        <w:t xml:space="preserve"> </w:t>
      </w:r>
      <w:r>
        <w:rPr>
          <w:lang w:val="es-UY"/>
        </w:rPr>
        <w:t xml:space="preserve">Para ver estos decretos en detalle, se sugiere ingresar al siguiente link: </w:t>
      </w:r>
      <w:hyperlink r:id="rId1" w:history="1">
        <w:r w:rsidRPr="008A6ACA">
          <w:rPr>
            <w:rStyle w:val="Hipervnculo"/>
            <w:lang w:val="es-UY"/>
          </w:rPr>
          <w:t>https://www.onsc.gub.uy/onsc1/index.php?option=com_content&amp;view=article&amp;id=150:se-aprueban-decretos-reglamentarios-sobre-vinculos-laborales-y-el-sistema-de-reclutamiento-y-seleccion&amp;catid=1:latest-news</w:t>
        </w:r>
      </w:hyperlink>
      <w:r>
        <w:rPr>
          <w:lang w:val="es-UY"/>
        </w:rPr>
        <w:t xml:space="preserve"> (30 de marzo de 2018).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B759F0"/>
    <w:multiLevelType w:val="hybridMultilevel"/>
    <w:tmpl w:val="7B7E12B4"/>
    <w:lvl w:ilvl="0" w:tplc="744285E0">
      <w:start w:val="1"/>
      <w:numFmt w:val="bullet"/>
      <w:lvlText w:val="-"/>
      <w:lvlJc w:val="left"/>
      <w:pPr>
        <w:ind w:left="720" w:hanging="360"/>
      </w:pPr>
      <w:rPr>
        <w:rFonts w:ascii="Calibri" w:eastAsiaTheme="minorHAnsi" w:hAnsi="Calibri" w:cs="Calibri"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1">
    <w:nsid w:val="0FE86CE4"/>
    <w:multiLevelType w:val="hybridMultilevel"/>
    <w:tmpl w:val="1AF223A6"/>
    <w:lvl w:ilvl="0" w:tplc="4104BC2A">
      <w:start w:val="1"/>
      <w:numFmt w:val="decimal"/>
      <w:lvlText w:val="%1-"/>
      <w:lvlJc w:val="left"/>
      <w:pPr>
        <w:ind w:left="720" w:hanging="36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2">
    <w:nsid w:val="34387CF5"/>
    <w:multiLevelType w:val="hybridMultilevel"/>
    <w:tmpl w:val="4C085A82"/>
    <w:lvl w:ilvl="0" w:tplc="0F5CA682">
      <w:start w:val="1"/>
      <w:numFmt w:val="bullet"/>
      <w:lvlText w:val="-"/>
      <w:lvlJc w:val="left"/>
      <w:pPr>
        <w:ind w:left="720" w:hanging="360"/>
      </w:pPr>
      <w:rPr>
        <w:rFonts w:ascii="Calibri" w:eastAsiaTheme="minorHAnsi" w:hAnsi="Calibri" w:cs="Calibri"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3">
    <w:nsid w:val="4BEE2A92"/>
    <w:multiLevelType w:val="hybridMultilevel"/>
    <w:tmpl w:val="C572285A"/>
    <w:lvl w:ilvl="0" w:tplc="0338E7AE">
      <w:start w:val="1"/>
      <w:numFmt w:val="decimal"/>
      <w:lvlText w:val="%1-"/>
      <w:lvlJc w:val="left"/>
      <w:pPr>
        <w:ind w:left="720" w:hanging="36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4">
    <w:nsid w:val="50E82D5A"/>
    <w:multiLevelType w:val="hybridMultilevel"/>
    <w:tmpl w:val="8A740F8A"/>
    <w:lvl w:ilvl="0" w:tplc="380A000F">
      <w:start w:val="1"/>
      <w:numFmt w:val="decimal"/>
      <w:lvlText w:val="%1."/>
      <w:lvlJc w:val="left"/>
      <w:pPr>
        <w:ind w:left="720" w:hanging="36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5">
    <w:nsid w:val="64A0291D"/>
    <w:multiLevelType w:val="hybridMultilevel"/>
    <w:tmpl w:val="846E0450"/>
    <w:lvl w:ilvl="0" w:tplc="60843960">
      <w:numFmt w:val="bullet"/>
      <w:lvlText w:val="-"/>
      <w:lvlJc w:val="left"/>
      <w:pPr>
        <w:ind w:left="720" w:hanging="360"/>
      </w:pPr>
      <w:rPr>
        <w:rFonts w:ascii="Times New Roman" w:eastAsiaTheme="minorHAnsi" w:hAnsi="Times New Roman" w:cs="Times New Roman"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6">
    <w:nsid w:val="6C1C4C12"/>
    <w:multiLevelType w:val="hybridMultilevel"/>
    <w:tmpl w:val="27E612FE"/>
    <w:lvl w:ilvl="0" w:tplc="E896625E">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744555EE"/>
    <w:multiLevelType w:val="hybridMultilevel"/>
    <w:tmpl w:val="6FA6D10E"/>
    <w:lvl w:ilvl="0" w:tplc="D842F99C">
      <w:start w:val="1"/>
      <w:numFmt w:val="bullet"/>
      <w:lvlText w:val="-"/>
      <w:lvlJc w:val="left"/>
      <w:pPr>
        <w:ind w:left="720" w:hanging="360"/>
      </w:pPr>
      <w:rPr>
        <w:rFonts w:ascii="Calibri" w:eastAsiaTheme="minorHAnsi" w:hAnsi="Calibri" w:cs="Calibri"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4"/>
  </w:num>
  <w:num w:numId="4">
    <w:abstractNumId w:val="3"/>
  </w:num>
  <w:num w:numId="5">
    <w:abstractNumId w:val="2"/>
  </w:num>
  <w:num w:numId="6">
    <w:abstractNumId w:val="7"/>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F09CB"/>
    <w:rsid w:val="0000502F"/>
    <w:rsid w:val="00007E3D"/>
    <w:rsid w:val="00017285"/>
    <w:rsid w:val="00017CA6"/>
    <w:rsid w:val="0003273E"/>
    <w:rsid w:val="00060304"/>
    <w:rsid w:val="0006757B"/>
    <w:rsid w:val="00075F41"/>
    <w:rsid w:val="00077CE3"/>
    <w:rsid w:val="00090B63"/>
    <w:rsid w:val="00091826"/>
    <w:rsid w:val="000A1A29"/>
    <w:rsid w:val="000A7FF3"/>
    <w:rsid w:val="000B68A5"/>
    <w:rsid w:val="000B7319"/>
    <w:rsid w:val="000C6EAC"/>
    <w:rsid w:val="000E347A"/>
    <w:rsid w:val="000E5D61"/>
    <w:rsid w:val="00104DD9"/>
    <w:rsid w:val="001062FB"/>
    <w:rsid w:val="001205DA"/>
    <w:rsid w:val="00130573"/>
    <w:rsid w:val="00147036"/>
    <w:rsid w:val="00181693"/>
    <w:rsid w:val="001875D4"/>
    <w:rsid w:val="001A0E74"/>
    <w:rsid w:val="001E11F4"/>
    <w:rsid w:val="001E634E"/>
    <w:rsid w:val="001F5BCF"/>
    <w:rsid w:val="002127FE"/>
    <w:rsid w:val="002139C6"/>
    <w:rsid w:val="00222902"/>
    <w:rsid w:val="0024199A"/>
    <w:rsid w:val="00253B3A"/>
    <w:rsid w:val="00257899"/>
    <w:rsid w:val="002633AC"/>
    <w:rsid w:val="002A74AE"/>
    <w:rsid w:val="002E5D46"/>
    <w:rsid w:val="002E5EA9"/>
    <w:rsid w:val="002E5F3F"/>
    <w:rsid w:val="002F01E2"/>
    <w:rsid w:val="002F1855"/>
    <w:rsid w:val="002F51D0"/>
    <w:rsid w:val="0031766A"/>
    <w:rsid w:val="00350F13"/>
    <w:rsid w:val="00357E6F"/>
    <w:rsid w:val="003600A7"/>
    <w:rsid w:val="003608EC"/>
    <w:rsid w:val="0037526F"/>
    <w:rsid w:val="003763DB"/>
    <w:rsid w:val="0037674B"/>
    <w:rsid w:val="003804EC"/>
    <w:rsid w:val="00394D54"/>
    <w:rsid w:val="003C177D"/>
    <w:rsid w:val="003C659C"/>
    <w:rsid w:val="003D0602"/>
    <w:rsid w:val="003D684A"/>
    <w:rsid w:val="003E7634"/>
    <w:rsid w:val="00400C3C"/>
    <w:rsid w:val="0041214A"/>
    <w:rsid w:val="00416B00"/>
    <w:rsid w:val="00440D52"/>
    <w:rsid w:val="00445C93"/>
    <w:rsid w:val="00460E46"/>
    <w:rsid w:val="00475577"/>
    <w:rsid w:val="00485BC4"/>
    <w:rsid w:val="00496958"/>
    <w:rsid w:val="004C39D2"/>
    <w:rsid w:val="005079C4"/>
    <w:rsid w:val="00512E59"/>
    <w:rsid w:val="005256D2"/>
    <w:rsid w:val="00537A63"/>
    <w:rsid w:val="0054068B"/>
    <w:rsid w:val="005449F5"/>
    <w:rsid w:val="00546268"/>
    <w:rsid w:val="0056777A"/>
    <w:rsid w:val="005849BA"/>
    <w:rsid w:val="0059386E"/>
    <w:rsid w:val="005C06EE"/>
    <w:rsid w:val="005C11D5"/>
    <w:rsid w:val="005D5260"/>
    <w:rsid w:val="005D5D25"/>
    <w:rsid w:val="00602083"/>
    <w:rsid w:val="006057FF"/>
    <w:rsid w:val="00664DF3"/>
    <w:rsid w:val="006A09BA"/>
    <w:rsid w:val="006A34EC"/>
    <w:rsid w:val="006C5F26"/>
    <w:rsid w:val="006C6A6B"/>
    <w:rsid w:val="006D78C4"/>
    <w:rsid w:val="006E2CF9"/>
    <w:rsid w:val="006E39A8"/>
    <w:rsid w:val="006F26D6"/>
    <w:rsid w:val="006F64A8"/>
    <w:rsid w:val="007111DE"/>
    <w:rsid w:val="007235E8"/>
    <w:rsid w:val="00744434"/>
    <w:rsid w:val="00745F43"/>
    <w:rsid w:val="007461B4"/>
    <w:rsid w:val="00747FB4"/>
    <w:rsid w:val="00763709"/>
    <w:rsid w:val="00764FE8"/>
    <w:rsid w:val="00770607"/>
    <w:rsid w:val="0077317A"/>
    <w:rsid w:val="00791910"/>
    <w:rsid w:val="00793FD5"/>
    <w:rsid w:val="007952B5"/>
    <w:rsid w:val="007A42CE"/>
    <w:rsid w:val="007B309C"/>
    <w:rsid w:val="007C01BF"/>
    <w:rsid w:val="007C27EB"/>
    <w:rsid w:val="007D6006"/>
    <w:rsid w:val="007D78AC"/>
    <w:rsid w:val="007E467C"/>
    <w:rsid w:val="007F0086"/>
    <w:rsid w:val="007F5748"/>
    <w:rsid w:val="008610B4"/>
    <w:rsid w:val="00864C9F"/>
    <w:rsid w:val="00885764"/>
    <w:rsid w:val="00887C38"/>
    <w:rsid w:val="00893B6D"/>
    <w:rsid w:val="008A6D79"/>
    <w:rsid w:val="008B341D"/>
    <w:rsid w:val="008B3B5E"/>
    <w:rsid w:val="008B562F"/>
    <w:rsid w:val="008C69F0"/>
    <w:rsid w:val="0092238F"/>
    <w:rsid w:val="00932B79"/>
    <w:rsid w:val="00950F65"/>
    <w:rsid w:val="009567AE"/>
    <w:rsid w:val="0095778E"/>
    <w:rsid w:val="00995976"/>
    <w:rsid w:val="009A00EF"/>
    <w:rsid w:val="009A076E"/>
    <w:rsid w:val="009A72C3"/>
    <w:rsid w:val="009B077D"/>
    <w:rsid w:val="009C7989"/>
    <w:rsid w:val="009D2633"/>
    <w:rsid w:val="009E63FC"/>
    <w:rsid w:val="009E7B15"/>
    <w:rsid w:val="00A048BA"/>
    <w:rsid w:val="00A0787D"/>
    <w:rsid w:val="00A32FA7"/>
    <w:rsid w:val="00A526E2"/>
    <w:rsid w:val="00A533E8"/>
    <w:rsid w:val="00A613F7"/>
    <w:rsid w:val="00A61F52"/>
    <w:rsid w:val="00A650B8"/>
    <w:rsid w:val="00A82A77"/>
    <w:rsid w:val="00A86CFB"/>
    <w:rsid w:val="00AB2794"/>
    <w:rsid w:val="00AC2EEE"/>
    <w:rsid w:val="00AE4CFF"/>
    <w:rsid w:val="00AF28B9"/>
    <w:rsid w:val="00B00E42"/>
    <w:rsid w:val="00B03F34"/>
    <w:rsid w:val="00B04CB9"/>
    <w:rsid w:val="00B14AEF"/>
    <w:rsid w:val="00B23E73"/>
    <w:rsid w:val="00B31394"/>
    <w:rsid w:val="00B41AFC"/>
    <w:rsid w:val="00B5369E"/>
    <w:rsid w:val="00B665AE"/>
    <w:rsid w:val="00B71972"/>
    <w:rsid w:val="00B728F8"/>
    <w:rsid w:val="00B777CA"/>
    <w:rsid w:val="00B928B6"/>
    <w:rsid w:val="00BA2940"/>
    <w:rsid w:val="00BA2F9D"/>
    <w:rsid w:val="00BB47EA"/>
    <w:rsid w:val="00BC00F0"/>
    <w:rsid w:val="00BC134B"/>
    <w:rsid w:val="00BC66F8"/>
    <w:rsid w:val="00BC7C19"/>
    <w:rsid w:val="00BD6AA6"/>
    <w:rsid w:val="00BE4130"/>
    <w:rsid w:val="00BF01A9"/>
    <w:rsid w:val="00BF0D43"/>
    <w:rsid w:val="00BF76C7"/>
    <w:rsid w:val="00C354A9"/>
    <w:rsid w:val="00C7139E"/>
    <w:rsid w:val="00C74D0A"/>
    <w:rsid w:val="00C83C3F"/>
    <w:rsid w:val="00CA2AD1"/>
    <w:rsid w:val="00CA7BCC"/>
    <w:rsid w:val="00CB7C80"/>
    <w:rsid w:val="00CD1F2C"/>
    <w:rsid w:val="00CE34E2"/>
    <w:rsid w:val="00CF16C5"/>
    <w:rsid w:val="00CF62C9"/>
    <w:rsid w:val="00D07DCC"/>
    <w:rsid w:val="00D118C8"/>
    <w:rsid w:val="00D130A4"/>
    <w:rsid w:val="00D1337F"/>
    <w:rsid w:val="00D33F26"/>
    <w:rsid w:val="00D405DD"/>
    <w:rsid w:val="00D413EE"/>
    <w:rsid w:val="00D65E10"/>
    <w:rsid w:val="00D7734C"/>
    <w:rsid w:val="00D91635"/>
    <w:rsid w:val="00DA3E9B"/>
    <w:rsid w:val="00DA5214"/>
    <w:rsid w:val="00DB02C4"/>
    <w:rsid w:val="00DB4981"/>
    <w:rsid w:val="00DB6DF6"/>
    <w:rsid w:val="00DE69AE"/>
    <w:rsid w:val="00E00047"/>
    <w:rsid w:val="00E05E23"/>
    <w:rsid w:val="00E210B6"/>
    <w:rsid w:val="00E33525"/>
    <w:rsid w:val="00E443BE"/>
    <w:rsid w:val="00E6055E"/>
    <w:rsid w:val="00E75980"/>
    <w:rsid w:val="00E97F38"/>
    <w:rsid w:val="00EE3318"/>
    <w:rsid w:val="00EE5821"/>
    <w:rsid w:val="00EE641D"/>
    <w:rsid w:val="00EF2C5A"/>
    <w:rsid w:val="00F074E1"/>
    <w:rsid w:val="00F231B9"/>
    <w:rsid w:val="00F5295F"/>
    <w:rsid w:val="00F55BD3"/>
    <w:rsid w:val="00F6058C"/>
    <w:rsid w:val="00F636F3"/>
    <w:rsid w:val="00F808BF"/>
    <w:rsid w:val="00F82F5A"/>
    <w:rsid w:val="00FC7FA2"/>
    <w:rsid w:val="00FF09C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E4557EE-2E0B-49AF-837D-5F6B0010B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0F13"/>
  </w:style>
  <w:style w:type="paragraph" w:styleId="Ttulo4">
    <w:name w:val="heading 4"/>
    <w:basedOn w:val="Normal"/>
    <w:link w:val="Ttulo4Car"/>
    <w:uiPriority w:val="9"/>
    <w:qFormat/>
    <w:rsid w:val="00B928B6"/>
    <w:pPr>
      <w:spacing w:before="100" w:beforeAutospacing="1" w:after="100" w:afterAutospacing="1" w:line="240" w:lineRule="auto"/>
      <w:outlineLvl w:val="3"/>
    </w:pPr>
    <w:rPr>
      <w:rFonts w:ascii="Times New Roman" w:eastAsia="Times New Roman" w:hAnsi="Times New Roman" w:cs="Times New Roman"/>
      <w:b/>
      <w:bCs/>
      <w:sz w:val="24"/>
      <w:szCs w:val="24"/>
      <w:lang w:val="es-UY" w:eastAsia="es-UY"/>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FF09C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F09CB"/>
    <w:rPr>
      <w:rFonts w:ascii="Tahoma" w:hAnsi="Tahoma" w:cs="Tahoma"/>
      <w:sz w:val="16"/>
      <w:szCs w:val="16"/>
    </w:rPr>
  </w:style>
  <w:style w:type="paragraph" w:styleId="Prrafodelista">
    <w:name w:val="List Paragraph"/>
    <w:basedOn w:val="Normal"/>
    <w:uiPriority w:val="34"/>
    <w:qFormat/>
    <w:rsid w:val="00AF28B9"/>
    <w:pPr>
      <w:ind w:left="720"/>
      <w:contextualSpacing/>
    </w:pPr>
  </w:style>
  <w:style w:type="paragraph" w:styleId="Textonotapie">
    <w:name w:val="footnote text"/>
    <w:basedOn w:val="Normal"/>
    <w:link w:val="TextonotapieCar"/>
    <w:uiPriority w:val="99"/>
    <w:unhideWhenUsed/>
    <w:rsid w:val="00CF62C9"/>
    <w:pPr>
      <w:spacing w:after="0" w:line="240" w:lineRule="auto"/>
    </w:pPr>
    <w:rPr>
      <w:sz w:val="20"/>
      <w:szCs w:val="20"/>
    </w:rPr>
  </w:style>
  <w:style w:type="character" w:customStyle="1" w:styleId="TextonotapieCar">
    <w:name w:val="Texto nota pie Car"/>
    <w:basedOn w:val="Fuentedeprrafopredeter"/>
    <w:link w:val="Textonotapie"/>
    <w:uiPriority w:val="99"/>
    <w:rsid w:val="00CF62C9"/>
    <w:rPr>
      <w:sz w:val="20"/>
      <w:szCs w:val="20"/>
    </w:rPr>
  </w:style>
  <w:style w:type="character" w:styleId="Refdenotaalpie">
    <w:name w:val="footnote reference"/>
    <w:basedOn w:val="Fuentedeprrafopredeter"/>
    <w:uiPriority w:val="99"/>
    <w:semiHidden/>
    <w:unhideWhenUsed/>
    <w:rsid w:val="00CF62C9"/>
    <w:rPr>
      <w:vertAlign w:val="superscript"/>
    </w:rPr>
  </w:style>
  <w:style w:type="paragraph" w:styleId="Textoindependiente">
    <w:name w:val="Body Text"/>
    <w:basedOn w:val="Normal"/>
    <w:link w:val="TextoindependienteCar"/>
    <w:rsid w:val="003C177D"/>
    <w:pPr>
      <w:suppressAutoHyphens/>
      <w:spacing w:after="120" w:line="240" w:lineRule="auto"/>
    </w:pPr>
    <w:rPr>
      <w:rFonts w:ascii="Times New Roman" w:eastAsia="Times New Roman" w:hAnsi="Times New Roman" w:cs="Times New Roman"/>
      <w:sz w:val="24"/>
      <w:szCs w:val="24"/>
      <w:lang w:eastAsia="zh-CN"/>
    </w:rPr>
  </w:style>
  <w:style w:type="character" w:customStyle="1" w:styleId="TextoindependienteCar">
    <w:name w:val="Texto independiente Car"/>
    <w:basedOn w:val="Fuentedeprrafopredeter"/>
    <w:link w:val="Textoindependiente"/>
    <w:rsid w:val="003C177D"/>
    <w:rPr>
      <w:rFonts w:ascii="Times New Roman" w:eastAsia="Times New Roman" w:hAnsi="Times New Roman" w:cs="Times New Roman"/>
      <w:sz w:val="24"/>
      <w:szCs w:val="24"/>
      <w:lang w:eastAsia="zh-CN"/>
    </w:rPr>
  </w:style>
  <w:style w:type="paragraph" w:styleId="NormalWeb">
    <w:name w:val="Normal (Web)"/>
    <w:basedOn w:val="Normal"/>
    <w:uiPriority w:val="99"/>
    <w:semiHidden/>
    <w:unhideWhenUsed/>
    <w:rsid w:val="0037526F"/>
    <w:pPr>
      <w:spacing w:before="100" w:beforeAutospacing="1" w:after="100" w:afterAutospacing="1" w:line="240" w:lineRule="auto"/>
    </w:pPr>
    <w:rPr>
      <w:rFonts w:ascii="Times New Roman" w:eastAsia="Times New Roman" w:hAnsi="Times New Roman" w:cs="Times New Roman"/>
      <w:sz w:val="24"/>
      <w:szCs w:val="24"/>
      <w:lang w:val="es-UY" w:eastAsia="es-UY"/>
    </w:rPr>
  </w:style>
  <w:style w:type="character" w:customStyle="1" w:styleId="Ttulo4Car">
    <w:name w:val="Título 4 Car"/>
    <w:basedOn w:val="Fuentedeprrafopredeter"/>
    <w:link w:val="Ttulo4"/>
    <w:uiPriority w:val="9"/>
    <w:rsid w:val="00B928B6"/>
    <w:rPr>
      <w:rFonts w:ascii="Times New Roman" w:eastAsia="Times New Roman" w:hAnsi="Times New Roman" w:cs="Times New Roman"/>
      <w:b/>
      <w:bCs/>
      <w:sz w:val="24"/>
      <w:szCs w:val="24"/>
      <w:lang w:val="es-UY" w:eastAsia="es-UY"/>
    </w:rPr>
  </w:style>
  <w:style w:type="paragraph" w:styleId="Descripcin">
    <w:name w:val="caption"/>
    <w:basedOn w:val="Normal"/>
    <w:next w:val="Normal"/>
    <w:uiPriority w:val="35"/>
    <w:unhideWhenUsed/>
    <w:qFormat/>
    <w:rsid w:val="00A82A77"/>
    <w:pPr>
      <w:spacing w:line="240" w:lineRule="auto"/>
    </w:pPr>
    <w:rPr>
      <w:i/>
      <w:iCs/>
      <w:color w:val="1F497D" w:themeColor="text2"/>
      <w:sz w:val="18"/>
      <w:szCs w:val="18"/>
    </w:rPr>
  </w:style>
  <w:style w:type="character" w:styleId="Hipervnculo">
    <w:name w:val="Hyperlink"/>
    <w:basedOn w:val="Fuentedeprrafopredeter"/>
    <w:uiPriority w:val="99"/>
    <w:unhideWhenUsed/>
    <w:rsid w:val="0022290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058311">
      <w:bodyDiv w:val="1"/>
      <w:marLeft w:val="0"/>
      <w:marRight w:val="0"/>
      <w:marTop w:val="0"/>
      <w:marBottom w:val="0"/>
      <w:divBdr>
        <w:top w:val="none" w:sz="0" w:space="0" w:color="auto"/>
        <w:left w:val="none" w:sz="0" w:space="0" w:color="auto"/>
        <w:bottom w:val="none" w:sz="0" w:space="0" w:color="auto"/>
        <w:right w:val="none" w:sz="0" w:space="0" w:color="auto"/>
      </w:divBdr>
      <w:divsChild>
        <w:div w:id="1053776192">
          <w:marLeft w:val="360"/>
          <w:marRight w:val="360"/>
          <w:marTop w:val="0"/>
          <w:marBottom w:val="0"/>
          <w:divBdr>
            <w:top w:val="single" w:sz="6" w:space="15" w:color="DDDDDD"/>
            <w:left w:val="none" w:sz="0" w:space="0" w:color="auto"/>
            <w:bottom w:val="single" w:sz="6" w:space="15" w:color="DDDDDD"/>
            <w:right w:val="none" w:sz="0" w:space="0" w:color="auto"/>
          </w:divBdr>
        </w:div>
      </w:divsChild>
    </w:div>
    <w:div w:id="900556245">
      <w:bodyDiv w:val="1"/>
      <w:marLeft w:val="0"/>
      <w:marRight w:val="0"/>
      <w:marTop w:val="0"/>
      <w:marBottom w:val="0"/>
      <w:divBdr>
        <w:top w:val="none" w:sz="0" w:space="0" w:color="auto"/>
        <w:left w:val="none" w:sz="0" w:space="0" w:color="auto"/>
        <w:bottom w:val="none" w:sz="0" w:space="0" w:color="auto"/>
        <w:right w:val="none" w:sz="0" w:space="0" w:color="auto"/>
      </w:divBdr>
    </w:div>
    <w:div w:id="1113477184">
      <w:bodyDiv w:val="1"/>
      <w:marLeft w:val="0"/>
      <w:marRight w:val="0"/>
      <w:marTop w:val="0"/>
      <w:marBottom w:val="0"/>
      <w:divBdr>
        <w:top w:val="none" w:sz="0" w:space="0" w:color="auto"/>
        <w:left w:val="none" w:sz="0" w:space="0" w:color="auto"/>
        <w:bottom w:val="none" w:sz="0" w:space="0" w:color="auto"/>
        <w:right w:val="none" w:sz="0" w:space="0" w:color="auto"/>
      </w:divBdr>
    </w:div>
    <w:div w:id="1131705077">
      <w:bodyDiv w:val="1"/>
      <w:marLeft w:val="0"/>
      <w:marRight w:val="0"/>
      <w:marTop w:val="0"/>
      <w:marBottom w:val="0"/>
      <w:divBdr>
        <w:top w:val="none" w:sz="0" w:space="0" w:color="auto"/>
        <w:left w:val="none" w:sz="0" w:space="0" w:color="auto"/>
        <w:bottom w:val="none" w:sz="0" w:space="0" w:color="auto"/>
        <w:right w:val="none" w:sz="0" w:space="0" w:color="auto"/>
      </w:divBdr>
    </w:div>
    <w:div w:id="1248854561">
      <w:bodyDiv w:val="1"/>
      <w:marLeft w:val="0"/>
      <w:marRight w:val="0"/>
      <w:marTop w:val="0"/>
      <w:marBottom w:val="0"/>
      <w:divBdr>
        <w:top w:val="none" w:sz="0" w:space="0" w:color="auto"/>
        <w:left w:val="none" w:sz="0" w:space="0" w:color="auto"/>
        <w:bottom w:val="none" w:sz="0" w:space="0" w:color="auto"/>
        <w:right w:val="none" w:sz="0" w:space="0" w:color="auto"/>
      </w:divBdr>
    </w:div>
    <w:div w:id="1785348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chart" Target="charts/chart9.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8.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chart" Target="charts/chart6.xml"/><Relationship Id="rId10" Type="http://schemas.openxmlformats.org/officeDocument/2006/relationships/chart" Target="charts/chart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5.xml"/></Relationships>
</file>

<file path=word/_rels/footnotes.xml.rels><?xml version="1.0" encoding="UTF-8" standalone="yes"?>
<Relationships xmlns="http://schemas.openxmlformats.org/package/2006/relationships"><Relationship Id="rId1" Type="http://schemas.openxmlformats.org/officeDocument/2006/relationships/hyperlink" Target="https://www.onsc.gub.uy/onsc1/index.php?option=com_content&amp;view=article&amp;id=150:se-aprueban-decretos-reglamentarios-sobre-vinculos-laborales-y-el-sistema-de-reclutamiento-y-seleccion&amp;catid=1:latest-news"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D:\Hern&#225;n\CLAEH\CLAEH\Art&#237;culos\Cultura%20en%20Uruguay\Presupuestos%20en%20Cultura\Presupuesto%20Ministerio%20de%20Educaci&#243;n%20y%20Cultura1999_2016.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Hern&#225;n\CLAEH\CLAEH\Art&#237;culos\Cultura%20en%20Uruguay\Presupuestos%20en%20Cultura\Presupuesto%20Ministerio%20de%20Educaci&#243;n%20y%20Cultura1999_2016.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Hern&#225;n\CLAEH\CLAEH\Art&#237;culos\Cultura%20en%20Uruguay\Presupuestos%20en%20Cultura\Presupuesto%20Ministerio%20de%20Educaci&#243;n%20y%20Cultura1999_2016.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D:\Hern&#225;n\CLAEH\CLAEH\Art&#237;culos\Cultura%20en%20Uruguay\Presupuestos%20en%20Cultura\Presupuesto%20Ministerio%20de%20Educaci&#243;n%20y%20Cultura1999_2016.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D:\Hern&#225;n\CLAEH\CLAEH\Art&#237;culos\Cultura%20en%20Uruguay\Presupuestos%20en%20Cultura\Presupuesto%20Ministerio%20de%20Educaci&#243;n%20y%20Cultura1999_2016.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D:\Hern&#225;n\CLAEH\CLAEH\Art&#237;culos\Cultura%20en%20Uruguay\Presupuestos%20en%20Cultura\Presupuesto%20Ministerio%20de%20Educaci&#243;n%20y%20Cultura1999_2016.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D:\Hern&#225;n\CLAEH\CLAEH\Art&#237;culos\Cultura%20en%20Uruguay\Presupuestos%20en%20Cultura\Presupuesto%20Ministerio%20de%20Educaci&#243;n%20y%20Cultura1999_2016.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D:\Hern&#225;n\CLAEH\CLAEH\Art&#237;culos\Cultura%20en%20Uruguay\Presupuestos%20en%20Cultura\Presupuesto%20Ministerio%20de%20Educaci&#243;n%20y%20Cultura1999_2016.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D:\Hern&#225;n\CLAEH\CLAEH\Art&#237;culos\Cultura%20en%20Uruguay\Presupuestos%20en%20Cultura\Presupuesto%20Ministerio%20de%20Educaci&#243;n%20y%20Cultura1999_2016.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UY"/>
              <a:t>% Presupuesto en Cultura/ PIB</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UY"/>
        </a:p>
      </c:txPr>
    </c:title>
    <c:autoTitleDeleted val="0"/>
    <c:plotArea>
      <c:layout/>
      <c:lineChart>
        <c:grouping val="standard"/>
        <c:varyColors val="0"/>
        <c:ser>
          <c:idx val="0"/>
          <c:order val="0"/>
          <c:spPr>
            <a:ln w="28575" cap="rnd">
              <a:solidFill>
                <a:schemeClr val="accent1"/>
              </a:solidFill>
              <a:round/>
            </a:ln>
            <a:effectLst/>
          </c:spPr>
          <c:marker>
            <c:symbol val="none"/>
          </c:marker>
          <c:dLbls>
            <c:dLbl>
              <c:idx val="0"/>
              <c:layout>
                <c:manualLayout>
                  <c:x val="-4.0218328066647525E-2"/>
                  <c:y val="5.5555555555555552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3.0642535669826696E-2"/>
                  <c:y val="-5.0925925925925923E-2"/>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4.213348654601172E-2"/>
                  <c:y val="4.1666666666666664E-2"/>
                </c:manualLayout>
              </c:layout>
              <c:showLegendKey val="0"/>
              <c:showVal val="1"/>
              <c:showCatName val="0"/>
              <c:showSerName val="0"/>
              <c:showPercent val="0"/>
              <c:showBubbleSize val="0"/>
              <c:extLst>
                <c:ext xmlns:c15="http://schemas.microsoft.com/office/drawing/2012/chart" uri="{CE6537A1-D6FC-4f65-9D91-7224C49458BB}"/>
              </c:extLst>
            </c:dLbl>
            <c:dLbl>
              <c:idx val="6"/>
              <c:layout>
                <c:manualLayout>
                  <c:x val="-4.2133486546011754E-2"/>
                  <c:y val="4.6296296296296294E-2"/>
                </c:manualLayout>
              </c:layout>
              <c:showLegendKey val="0"/>
              <c:showVal val="1"/>
              <c:showCatName val="0"/>
              <c:showSerName val="0"/>
              <c:showPercent val="0"/>
              <c:showBubbleSize val="0"/>
              <c:extLst>
                <c:ext xmlns:c15="http://schemas.microsoft.com/office/drawing/2012/chart" uri="{CE6537A1-D6FC-4f65-9D91-7224C49458BB}"/>
              </c:extLst>
            </c:dLbl>
            <c:dLbl>
              <c:idx val="9"/>
              <c:layout>
                <c:manualLayout>
                  <c:x val="-3.6388011107919248E-2"/>
                  <c:y val="-4.6296296296296294E-2"/>
                </c:manualLayout>
              </c:layout>
              <c:showLegendKey val="0"/>
              <c:showVal val="1"/>
              <c:showCatName val="0"/>
              <c:showSerName val="0"/>
              <c:showPercent val="0"/>
              <c:showBubbleSize val="0"/>
              <c:extLst>
                <c:ext xmlns:c15="http://schemas.microsoft.com/office/drawing/2012/chart" uri="{CE6537A1-D6FC-4f65-9D91-7224C49458BB}"/>
              </c:extLst>
            </c:dLbl>
            <c:dLbl>
              <c:idx val="11"/>
              <c:layout>
                <c:manualLayout>
                  <c:x val="-3.8303169587283345E-2"/>
                  <c:y val="5.0925925925925923E-2"/>
                </c:manualLayout>
              </c:layout>
              <c:showLegendKey val="0"/>
              <c:showVal val="1"/>
              <c:showCatName val="0"/>
              <c:showSerName val="0"/>
              <c:showPercent val="0"/>
              <c:showBubbleSize val="0"/>
              <c:extLst>
                <c:ext xmlns:c15="http://schemas.microsoft.com/office/drawing/2012/chart" uri="{CE6537A1-D6FC-4f65-9D91-7224C49458BB}"/>
              </c:extLst>
            </c:dLbl>
            <c:dLbl>
              <c:idx val="18"/>
              <c:layout>
                <c:manualLayout>
                  <c:x val="-1.9151584793641674E-3"/>
                  <c:y val="-4.6296296296296384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UY"/>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CulturasobrePresupuesto!$B$1:$T$1</c:f>
              <c:numCache>
                <c:formatCode>General</c:formatCode>
                <c:ptCount val="19"/>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numCache>
            </c:numRef>
          </c:cat>
          <c:val>
            <c:numRef>
              <c:f>CulturasobrePresupuesto!$B$19:$T$19</c:f>
              <c:numCache>
                <c:formatCode>0.000%</c:formatCode>
                <c:ptCount val="19"/>
                <c:pt idx="0">
                  <c:v>2.7004238543026256E-3</c:v>
                </c:pt>
                <c:pt idx="1">
                  <c:v>2.8517691730367556E-3</c:v>
                </c:pt>
                <c:pt idx="2">
                  <c:v>2.3431199062278079E-3</c:v>
                </c:pt>
                <c:pt idx="3">
                  <c:v>1.9168044654657788E-3</c:v>
                </c:pt>
                <c:pt idx="4">
                  <c:v>1.4537776568615322E-3</c:v>
                </c:pt>
                <c:pt idx="5">
                  <c:v>1.4481141793430512E-3</c:v>
                </c:pt>
                <c:pt idx="6">
                  <c:v>1.2801151135919191E-3</c:v>
                </c:pt>
                <c:pt idx="7">
                  <c:v>1.3800759673227962E-3</c:v>
                </c:pt>
                <c:pt idx="8">
                  <c:v>1.4722467452360124E-3</c:v>
                </c:pt>
                <c:pt idx="9">
                  <c:v>2.2208101602376041E-3</c:v>
                </c:pt>
                <c:pt idx="10">
                  <c:v>1.7576194518135787E-3</c:v>
                </c:pt>
                <c:pt idx="11">
                  <c:v>1.6976988562302615E-3</c:v>
                </c:pt>
                <c:pt idx="12">
                  <c:v>2.0084419439344138E-3</c:v>
                </c:pt>
                <c:pt idx="13">
                  <c:v>2.0189798814716528E-3</c:v>
                </c:pt>
                <c:pt idx="14">
                  <c:v>1.935070228164547E-3</c:v>
                </c:pt>
                <c:pt idx="15">
                  <c:v>1.9290700897737752E-3</c:v>
                </c:pt>
                <c:pt idx="16">
                  <c:v>1.9202696310952761E-3</c:v>
                </c:pt>
                <c:pt idx="17">
                  <c:v>1.7756153162317477E-3</c:v>
                </c:pt>
                <c:pt idx="18">
                  <c:v>1.7624185256473689E-3</c:v>
                </c:pt>
              </c:numCache>
            </c:numRef>
          </c:val>
          <c:smooth val="0"/>
        </c:ser>
        <c:dLbls>
          <c:showLegendKey val="0"/>
          <c:showVal val="0"/>
          <c:showCatName val="0"/>
          <c:showSerName val="0"/>
          <c:showPercent val="0"/>
          <c:showBubbleSize val="0"/>
        </c:dLbls>
        <c:smooth val="0"/>
        <c:axId val="1567350896"/>
        <c:axId val="1567353072"/>
      </c:lineChart>
      <c:catAx>
        <c:axId val="15673508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UY"/>
          </a:p>
        </c:txPr>
        <c:crossAx val="1567353072"/>
        <c:crosses val="autoZero"/>
        <c:auto val="1"/>
        <c:lblAlgn val="ctr"/>
        <c:lblOffset val="100"/>
        <c:noMultiLvlLbl val="0"/>
      </c:catAx>
      <c:valAx>
        <c:axId val="1567353072"/>
        <c:scaling>
          <c:orientation val="minMax"/>
        </c:scaling>
        <c:delete val="0"/>
        <c:axPos val="l"/>
        <c:majorGridlines>
          <c:spPr>
            <a:ln w="9525" cap="flat" cmpd="sng" algn="ctr">
              <a:solidFill>
                <a:schemeClr val="tx1">
                  <a:lumMod val="15000"/>
                  <a:lumOff val="85000"/>
                </a:schemeClr>
              </a:solidFill>
              <a:round/>
            </a:ln>
            <a:effectLst/>
          </c:spPr>
        </c:majorGridlines>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UY"/>
          </a:p>
        </c:txPr>
        <c:crossAx val="15673508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UY"/>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UY"/>
              <a:t>%</a:t>
            </a:r>
            <a:r>
              <a:rPr lang="es-UY" baseline="0"/>
              <a:t> Asignación Presupuestal a Cultura / Total Presupuesto Nacional</a:t>
            </a:r>
            <a:endParaRPr lang="es-UY"/>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UY"/>
        </a:p>
      </c:txPr>
    </c:title>
    <c:autoTitleDeleted val="0"/>
    <c:plotArea>
      <c:layout/>
      <c:lineChart>
        <c:grouping val="standard"/>
        <c:varyColors val="0"/>
        <c:ser>
          <c:idx val="0"/>
          <c:order val="0"/>
          <c:spPr>
            <a:ln w="28575" cap="rnd">
              <a:solidFill>
                <a:schemeClr val="accent1"/>
              </a:solidFill>
              <a:round/>
            </a:ln>
            <a:effectLst/>
          </c:spPr>
          <c:marker>
            <c:symbol val="none"/>
          </c:marker>
          <c:dLbls>
            <c:dLbl>
              <c:idx val="0"/>
              <c:showLegendKey val="0"/>
              <c:showVal val="1"/>
              <c:showCatName val="0"/>
              <c:showSerName val="0"/>
              <c:showPercent val="0"/>
              <c:showBubbleSize val="0"/>
              <c:extLst>
                <c:ext xmlns:c15="http://schemas.microsoft.com/office/drawing/2012/chart" uri="{CE6537A1-D6FC-4f65-9D91-7224C49458BB}"/>
              </c:extLst>
            </c:dLbl>
            <c:dLbl>
              <c:idx val="1"/>
              <c:layout>
                <c:manualLayout>
                  <c:x val="-3.075148952527388E-2"/>
                  <c:y val="-3.7950664136622431E-2"/>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2.8829521429944265E-2"/>
                  <c:y val="4.6384145055871809E-2"/>
                </c:manualLayout>
              </c:layout>
              <c:showLegendKey val="0"/>
              <c:showVal val="1"/>
              <c:showCatName val="0"/>
              <c:showSerName val="0"/>
              <c:showPercent val="0"/>
              <c:showBubbleSize val="0"/>
              <c:extLst>
                <c:ext xmlns:c15="http://schemas.microsoft.com/office/drawing/2012/chart" uri="{CE6537A1-D6FC-4f65-9D91-7224C49458BB}"/>
              </c:extLst>
            </c:dLbl>
            <c:dLbl>
              <c:idx val="9"/>
              <c:layout>
                <c:manualLayout>
                  <c:x val="-4.2283298097251655E-2"/>
                  <c:y val="-4.6384145055871809E-2"/>
                </c:manualLayout>
              </c:layout>
              <c:showLegendKey val="0"/>
              <c:showVal val="1"/>
              <c:showCatName val="0"/>
              <c:showSerName val="0"/>
              <c:showPercent val="0"/>
              <c:showBubbleSize val="0"/>
              <c:extLst>
                <c:ext xmlns:c15="http://schemas.microsoft.com/office/drawing/2012/chart" uri="{CE6537A1-D6FC-4f65-9D91-7224C49458BB}"/>
              </c:extLst>
            </c:dLbl>
            <c:dLbl>
              <c:idx val="12"/>
              <c:layout>
                <c:manualLayout>
                  <c:x val="-3.2673457620603572E-2"/>
                  <c:y val="-3.7950664136622465E-2"/>
                </c:manualLayout>
              </c:layout>
              <c:showLegendKey val="0"/>
              <c:showVal val="1"/>
              <c:showCatName val="0"/>
              <c:showSerName val="0"/>
              <c:showPercent val="0"/>
              <c:showBubbleSize val="0"/>
              <c:extLst>
                <c:ext xmlns:c15="http://schemas.microsoft.com/office/drawing/2012/chart" uri="{CE6537A1-D6FC-4f65-9D91-7224C49458BB}"/>
              </c:extLst>
            </c:dLbl>
            <c:dLbl>
              <c:idx val="18"/>
              <c:layout>
                <c:manualLayout>
                  <c:x val="-4.4205266192581201E-2"/>
                  <c:y val="4.6384145055871809E-2"/>
                </c:manualLayout>
              </c:layout>
              <c:showLegendKey val="0"/>
              <c:showVal val="1"/>
              <c:showCatName val="0"/>
              <c:showSerName val="0"/>
              <c:showPercent val="0"/>
              <c:showBubbleSize val="0"/>
              <c:extLst>
                <c:ext xmlns:c15="http://schemas.microsoft.com/office/drawing/2012/chart" uri="{CE6537A1-D6FC-4f65-9D91-7224C49458BB}"/>
              </c:extLst>
            </c:dLbl>
            <c:dLbl>
              <c:idx val="19"/>
              <c:layout>
                <c:manualLayout>
                  <c:x val="-1.537574476263708E-2"/>
                  <c:y val="-4.6384145055871885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UY"/>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CulturasobrePresupuesto!$B$1:$U$1</c:f>
              <c:numCache>
                <c:formatCode>General</c:formatCode>
                <c:ptCount val="20"/>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numCache>
            </c:numRef>
          </c:cat>
          <c:val>
            <c:numRef>
              <c:f>CulturasobrePresupuesto!$B$15:$U$15</c:f>
              <c:numCache>
                <c:formatCode>0.00%</c:formatCode>
                <c:ptCount val="20"/>
                <c:pt idx="0">
                  <c:v>1.2166070899817213E-2</c:v>
                </c:pt>
                <c:pt idx="1">
                  <c:v>1.2202160212576247E-2</c:v>
                </c:pt>
                <c:pt idx="2">
                  <c:v>9.2602763092880843E-3</c:v>
                </c:pt>
                <c:pt idx="3">
                  <c:v>6.4219477939163831E-3</c:v>
                </c:pt>
                <c:pt idx="4">
                  <c:v>5.0165742101608412E-3</c:v>
                </c:pt>
                <c:pt idx="5">
                  <c:v>5.9189043053549505E-3</c:v>
                </c:pt>
                <c:pt idx="6">
                  <c:v>5.5069404468094602E-3</c:v>
                </c:pt>
                <c:pt idx="7">
                  <c:v>5.1161327382525162E-3</c:v>
                </c:pt>
                <c:pt idx="8">
                  <c:v>5.5623034388209616E-3</c:v>
                </c:pt>
                <c:pt idx="9">
                  <c:v>8.3618844526843084E-3</c:v>
                </c:pt>
                <c:pt idx="10">
                  <c:v>6.5434567917018261E-3</c:v>
                </c:pt>
                <c:pt idx="11">
                  <c:v>6.5600399465399299E-3</c:v>
                </c:pt>
                <c:pt idx="12">
                  <c:v>7.762672799886643E-3</c:v>
                </c:pt>
                <c:pt idx="13">
                  <c:v>7.799799258042992E-3</c:v>
                </c:pt>
                <c:pt idx="14">
                  <c:v>7.3289556899604714E-3</c:v>
                </c:pt>
                <c:pt idx="15">
                  <c:v>7.2910896764903097E-3</c:v>
                </c:pt>
                <c:pt idx="16">
                  <c:v>7.1687290041950943E-3</c:v>
                </c:pt>
                <c:pt idx="17">
                  <c:v>5.769672804422938E-3</c:v>
                </c:pt>
                <c:pt idx="18">
                  <c:v>4.8462755811059677E-3</c:v>
                </c:pt>
                <c:pt idx="19">
                  <c:v>5.7191192474263493E-3</c:v>
                </c:pt>
              </c:numCache>
            </c:numRef>
          </c:val>
          <c:smooth val="0"/>
        </c:ser>
        <c:dLbls>
          <c:showLegendKey val="0"/>
          <c:showVal val="0"/>
          <c:showCatName val="0"/>
          <c:showSerName val="0"/>
          <c:showPercent val="0"/>
          <c:showBubbleSize val="0"/>
        </c:dLbls>
        <c:smooth val="0"/>
        <c:axId val="1482415568"/>
        <c:axId val="1482416112"/>
      </c:lineChart>
      <c:catAx>
        <c:axId val="1482415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UY"/>
          </a:p>
        </c:txPr>
        <c:crossAx val="1482416112"/>
        <c:crosses val="autoZero"/>
        <c:auto val="1"/>
        <c:lblAlgn val="ctr"/>
        <c:lblOffset val="100"/>
        <c:noMultiLvlLbl val="0"/>
      </c:catAx>
      <c:valAx>
        <c:axId val="148241611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UY"/>
          </a:p>
        </c:txPr>
        <c:crossAx val="1482415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UY"/>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 Presupuesto Cultura/Presupuesto</a:t>
            </a:r>
            <a:r>
              <a:rPr lang="en-US" baseline="0"/>
              <a:t> MEC</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UY"/>
        </a:p>
      </c:txPr>
    </c:title>
    <c:autoTitleDeleted val="0"/>
    <c:plotArea>
      <c:layout/>
      <c:lineChart>
        <c:grouping val="standard"/>
        <c:varyColors val="0"/>
        <c:ser>
          <c:idx val="0"/>
          <c:order val="0"/>
          <c:spPr>
            <a:ln w="28575" cap="rnd">
              <a:solidFill>
                <a:schemeClr val="accent1"/>
              </a:solidFill>
              <a:round/>
            </a:ln>
            <a:effectLst/>
          </c:spPr>
          <c:marker>
            <c:symbol val="none"/>
          </c:marker>
          <c:dLbls>
            <c:dLbl>
              <c:idx val="2"/>
              <c:layout>
                <c:manualLayout>
                  <c:x val="-2.8183059487506257E-2"/>
                  <c:y val="-4.1666666666666664E-2"/>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2.4642954981360748E-2"/>
                  <c:y val="5.0925925925925923E-2"/>
                </c:manualLayout>
              </c:layout>
              <c:showLegendKey val="0"/>
              <c:showVal val="1"/>
              <c:showCatName val="0"/>
              <c:showSerName val="0"/>
              <c:showPercent val="0"/>
              <c:showBubbleSize val="0"/>
              <c:extLst>
                <c:ext xmlns:c15="http://schemas.microsoft.com/office/drawing/2012/chart" uri="{CE6537A1-D6FC-4f65-9D91-7224C49458BB}"/>
              </c:extLst>
            </c:dLbl>
            <c:dLbl>
              <c:idx val="8"/>
              <c:showLegendKey val="0"/>
              <c:showVal val="1"/>
              <c:showCatName val="0"/>
              <c:showSerName val="0"/>
              <c:showPercent val="0"/>
              <c:showBubbleSize val="0"/>
              <c:extLst>
                <c:ext xmlns:c15="http://schemas.microsoft.com/office/drawing/2012/chart" uri="{CE6537A1-D6FC-4f65-9D91-7224C49458BB}"/>
              </c:extLst>
            </c:dLbl>
            <c:dLbl>
              <c:idx val="9"/>
              <c:layout>
                <c:manualLayout>
                  <c:x val="-2.9393139441384927E-2"/>
                  <c:y val="-4.6296296296296294E-2"/>
                </c:manualLayout>
              </c:layout>
              <c:showLegendKey val="0"/>
              <c:showVal val="1"/>
              <c:showCatName val="0"/>
              <c:showSerName val="0"/>
              <c:showPercent val="0"/>
              <c:showBubbleSize val="0"/>
              <c:extLst>
                <c:ext xmlns:c15="http://schemas.microsoft.com/office/drawing/2012/chart" uri="{CE6537A1-D6FC-4f65-9D91-7224C49458BB}"/>
              </c:extLst>
            </c:dLbl>
            <c:dLbl>
              <c:idx val="13"/>
              <c:layout>
                <c:manualLayout>
                  <c:x val="-2.8901734104046242E-2"/>
                  <c:y val="-5.0925925925925923E-2"/>
                </c:manualLayout>
              </c:layout>
              <c:showLegendKey val="0"/>
              <c:showVal val="1"/>
              <c:showCatName val="0"/>
              <c:showSerName val="0"/>
              <c:showPercent val="0"/>
              <c:showBubbleSize val="0"/>
              <c:extLst>
                <c:ext xmlns:c15="http://schemas.microsoft.com/office/drawing/2012/chart" uri="{CE6537A1-D6FC-4f65-9D91-7224C49458BB}"/>
              </c:extLst>
            </c:dLbl>
            <c:dLbl>
              <c:idx val="18"/>
              <c:layout>
                <c:manualLayout>
                  <c:x val="-2.5048169556840076E-2"/>
                  <c:y val="-4.1666666666666706E-2"/>
                </c:manualLayout>
              </c:layout>
              <c:showLegendKey val="0"/>
              <c:showVal val="1"/>
              <c:showCatName val="0"/>
              <c:showSerName val="0"/>
              <c:showPercent val="0"/>
              <c:showBubbleSize val="0"/>
              <c:extLst>
                <c:ext xmlns:c15="http://schemas.microsoft.com/office/drawing/2012/chart" uri="{CE6537A1-D6FC-4f65-9D91-7224C49458BB}"/>
              </c:extLst>
            </c:dLbl>
            <c:dLbl>
              <c:idx val="19"/>
              <c:layout>
                <c:manualLayout>
                  <c:x val="-1.3441611808014975E-2"/>
                  <c:y val="-5.0925925925925972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UY"/>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CulturasobrePresupuesto!$B$1:$U$1</c:f>
              <c:numCache>
                <c:formatCode>General</c:formatCode>
                <c:ptCount val="20"/>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numCache>
            </c:numRef>
          </c:cat>
          <c:val>
            <c:numRef>
              <c:f>CulturasobrePresupuesto!$B$8:$U$8</c:f>
              <c:numCache>
                <c:formatCode>0%</c:formatCode>
                <c:ptCount val="20"/>
                <c:pt idx="0">
                  <c:v>0.53011199795271102</c:v>
                </c:pt>
                <c:pt idx="1">
                  <c:v>0.53775381033840219</c:v>
                </c:pt>
                <c:pt idx="2">
                  <c:v>0.56833088270009258</c:v>
                </c:pt>
                <c:pt idx="3">
                  <c:v>0.52294909634534237</c:v>
                </c:pt>
                <c:pt idx="4">
                  <c:v>0.46028803276729957</c:v>
                </c:pt>
                <c:pt idx="5">
                  <c:v>0.48603298170784182</c:v>
                </c:pt>
                <c:pt idx="6">
                  <c:v>0.45612182623714065</c:v>
                </c:pt>
                <c:pt idx="7">
                  <c:v>0.45296643338977211</c:v>
                </c:pt>
                <c:pt idx="8">
                  <c:v>0.45414453854637216</c:v>
                </c:pt>
                <c:pt idx="9">
                  <c:v>0.60633591022466982</c:v>
                </c:pt>
                <c:pt idx="10">
                  <c:v>0.57938959969302961</c:v>
                </c:pt>
                <c:pt idx="11">
                  <c:v>0.57907974664398854</c:v>
                </c:pt>
                <c:pt idx="12">
                  <c:v>0.62545771139518025</c:v>
                </c:pt>
                <c:pt idx="13">
                  <c:v>0.63175858185525469</c:v>
                </c:pt>
                <c:pt idx="14">
                  <c:v>0.60198816264211708</c:v>
                </c:pt>
                <c:pt idx="15">
                  <c:v>0.57422384732215503</c:v>
                </c:pt>
                <c:pt idx="16">
                  <c:v>0.578692968978745</c:v>
                </c:pt>
                <c:pt idx="17">
                  <c:v>0.60733641792644155</c:v>
                </c:pt>
                <c:pt idx="18">
                  <c:v>0.62920120630788046</c:v>
                </c:pt>
                <c:pt idx="19">
                  <c:v>0.60371503359735557</c:v>
                </c:pt>
              </c:numCache>
            </c:numRef>
          </c:val>
          <c:smooth val="0"/>
        </c:ser>
        <c:dLbls>
          <c:showLegendKey val="0"/>
          <c:showVal val="0"/>
          <c:showCatName val="0"/>
          <c:showSerName val="0"/>
          <c:showPercent val="0"/>
          <c:showBubbleSize val="0"/>
        </c:dLbls>
        <c:smooth val="0"/>
        <c:axId val="1482418288"/>
        <c:axId val="1485414240"/>
      </c:lineChart>
      <c:catAx>
        <c:axId val="1482418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UY"/>
          </a:p>
        </c:txPr>
        <c:crossAx val="1485414240"/>
        <c:crosses val="autoZero"/>
        <c:auto val="1"/>
        <c:lblAlgn val="ctr"/>
        <c:lblOffset val="100"/>
        <c:noMultiLvlLbl val="0"/>
      </c:catAx>
      <c:valAx>
        <c:axId val="1485414240"/>
        <c:scaling>
          <c:orientation val="minMax"/>
          <c:max val="1"/>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UY"/>
          </a:p>
        </c:txPr>
        <c:crossAx val="14824182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UY"/>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UY"/>
              <a:t>% de Asignación</a:t>
            </a:r>
            <a:r>
              <a:rPr lang="es-UY" baseline="0"/>
              <a:t> Presupuestal Unidad Ejecutora/Total de Asignación a Cultura</a:t>
            </a:r>
            <a:endParaRPr lang="es-UY"/>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UY"/>
        </a:p>
      </c:txPr>
    </c:title>
    <c:autoTitleDeleted val="0"/>
    <c:plotArea>
      <c:layout/>
      <c:barChart>
        <c:barDir val="col"/>
        <c:grouping val="percentStacked"/>
        <c:varyColors val="0"/>
        <c:ser>
          <c:idx val="0"/>
          <c:order val="0"/>
          <c:tx>
            <c:strRef>
              <c:f>Hoja4!$B$27</c:f>
              <c:strCache>
                <c:ptCount val="1"/>
                <c:pt idx="0">
                  <c:v> 1 </c:v>
                </c:pt>
              </c:strCache>
            </c:strRef>
          </c:tx>
          <c:spPr>
            <a:solidFill>
              <a:schemeClr val="accent1"/>
            </a:solidFill>
            <a:ln>
              <a:noFill/>
            </a:ln>
            <a:effectLst/>
          </c:spPr>
          <c:invertIfNegative val="0"/>
          <c:dLbls>
            <c:dLbl>
              <c:idx val="0"/>
              <c:showLegendKey val="0"/>
              <c:showVal val="1"/>
              <c:showCatName val="0"/>
              <c:showSerName val="0"/>
              <c:showPercent val="0"/>
              <c:showBubbleSize val="0"/>
              <c:extLst>
                <c:ext xmlns:c15="http://schemas.microsoft.com/office/drawing/2012/chart" uri="{CE6537A1-D6FC-4f65-9D91-7224C49458BB}"/>
              </c:extLst>
            </c:dLbl>
            <c:dLbl>
              <c:idx val="19"/>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UY"/>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Hoja4!$A$28:$A$47</c:f>
              <c:numCache>
                <c:formatCode>General</c:formatCode>
                <c:ptCount val="20"/>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numCache>
            </c:numRef>
          </c:cat>
          <c:val>
            <c:numRef>
              <c:f>Hoja4!$B$28:$B$47</c:f>
              <c:numCache>
                <c:formatCode>0.0%</c:formatCode>
                <c:ptCount val="20"/>
                <c:pt idx="0">
                  <c:v>0.50318994948404705</c:v>
                </c:pt>
                <c:pt idx="1">
                  <c:v>0.49418990519050798</c:v>
                </c:pt>
                <c:pt idx="2">
                  <c:v>0.33668932598331264</c:v>
                </c:pt>
                <c:pt idx="3">
                  <c:v>0.36236295263856838</c:v>
                </c:pt>
                <c:pt idx="4">
                  <c:v>0.37869201305011818</c:v>
                </c:pt>
                <c:pt idx="5">
                  <c:v>0.33956162576229471</c:v>
                </c:pt>
                <c:pt idx="6">
                  <c:v>0.37374553101640734</c:v>
                </c:pt>
                <c:pt idx="7">
                  <c:v>0.37310640585533233</c:v>
                </c:pt>
                <c:pt idx="8">
                  <c:v>0.42823127746314743</c:v>
                </c:pt>
                <c:pt idx="9">
                  <c:v>0.30638595319451722</c:v>
                </c:pt>
                <c:pt idx="10">
                  <c:v>0.34899641389595348</c:v>
                </c:pt>
                <c:pt idx="11">
                  <c:v>0.36950317482252232</c:v>
                </c:pt>
                <c:pt idx="12">
                  <c:v>0.37721304521319426</c:v>
                </c:pt>
                <c:pt idx="13">
                  <c:v>0.39949262535597896</c:v>
                </c:pt>
                <c:pt idx="14">
                  <c:v>0.38439485574374926</c:v>
                </c:pt>
                <c:pt idx="15">
                  <c:v>0.39643583550048245</c:v>
                </c:pt>
                <c:pt idx="16">
                  <c:v>0.39650746189804065</c:v>
                </c:pt>
                <c:pt idx="17">
                  <c:v>0.29159447063666183</c:v>
                </c:pt>
                <c:pt idx="18">
                  <c:v>0.27519734015043618</c:v>
                </c:pt>
                <c:pt idx="19">
                  <c:v>0.27562418808416883</c:v>
                </c:pt>
              </c:numCache>
            </c:numRef>
          </c:val>
        </c:ser>
        <c:ser>
          <c:idx val="1"/>
          <c:order val="1"/>
          <c:tx>
            <c:strRef>
              <c:f>Hoja4!$C$27</c:f>
              <c:strCache>
                <c:ptCount val="1"/>
                <c:pt idx="0">
                  <c:v> 3 </c:v>
                </c:pt>
              </c:strCache>
            </c:strRef>
          </c:tx>
          <c:spPr>
            <a:solidFill>
              <a:schemeClr val="accent2"/>
            </a:solidFill>
            <a:ln>
              <a:noFill/>
            </a:ln>
            <a:effectLst/>
          </c:spPr>
          <c:invertIfNegative val="0"/>
          <c:dLbls>
            <c:dLbl>
              <c:idx val="9"/>
              <c:showLegendKey val="0"/>
              <c:showVal val="1"/>
              <c:showCatName val="0"/>
              <c:showSerName val="0"/>
              <c:showPercent val="0"/>
              <c:showBubbleSize val="0"/>
              <c:extLst>
                <c:ext xmlns:c15="http://schemas.microsoft.com/office/drawing/2012/chart" uri="{CE6537A1-D6FC-4f65-9D91-7224C49458BB}"/>
              </c:extLst>
            </c:dLbl>
            <c:dLbl>
              <c:idx val="19"/>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UY"/>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Hoja4!$A$28:$A$47</c:f>
              <c:numCache>
                <c:formatCode>General</c:formatCode>
                <c:ptCount val="20"/>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numCache>
            </c:numRef>
          </c:cat>
          <c:val>
            <c:numRef>
              <c:f>Hoja4!$C$28:$C$47</c:f>
              <c:numCache>
                <c:formatCode>0.0%</c:formatCode>
                <c:ptCount val="20"/>
                <c:pt idx="0">
                  <c:v>0</c:v>
                </c:pt>
                <c:pt idx="1">
                  <c:v>0</c:v>
                </c:pt>
                <c:pt idx="2">
                  <c:v>0</c:v>
                </c:pt>
                <c:pt idx="3">
                  <c:v>0</c:v>
                </c:pt>
                <c:pt idx="4">
                  <c:v>0</c:v>
                </c:pt>
                <c:pt idx="5">
                  <c:v>0</c:v>
                </c:pt>
                <c:pt idx="6">
                  <c:v>0</c:v>
                </c:pt>
                <c:pt idx="7">
                  <c:v>0</c:v>
                </c:pt>
                <c:pt idx="8">
                  <c:v>0</c:v>
                </c:pt>
                <c:pt idx="9">
                  <c:v>5.6216005096475237E-2</c:v>
                </c:pt>
                <c:pt idx="10">
                  <c:v>9.3726603881062964E-2</c:v>
                </c:pt>
                <c:pt idx="11">
                  <c:v>0.10180080869130023</c:v>
                </c:pt>
                <c:pt idx="12">
                  <c:v>9.7931714375602982E-2</c:v>
                </c:pt>
                <c:pt idx="13">
                  <c:v>9.0540304201932376E-2</c:v>
                </c:pt>
                <c:pt idx="14">
                  <c:v>9.5115333470792721E-2</c:v>
                </c:pt>
                <c:pt idx="15">
                  <c:v>9.0951870580502969E-2</c:v>
                </c:pt>
                <c:pt idx="16">
                  <c:v>9.4272665595824839E-2</c:v>
                </c:pt>
                <c:pt idx="17">
                  <c:v>0.11420501864775576</c:v>
                </c:pt>
                <c:pt idx="18">
                  <c:v>0.12222552531568193</c:v>
                </c:pt>
                <c:pt idx="19">
                  <c:v>0.12628402388418392</c:v>
                </c:pt>
              </c:numCache>
            </c:numRef>
          </c:val>
        </c:ser>
        <c:ser>
          <c:idx val="2"/>
          <c:order val="2"/>
          <c:tx>
            <c:strRef>
              <c:f>Hoja4!$D$27</c:f>
              <c:strCache>
                <c:ptCount val="1"/>
                <c:pt idx="0">
                  <c:v> 4 </c:v>
                </c:pt>
              </c:strCache>
            </c:strRef>
          </c:tx>
          <c:spPr>
            <a:solidFill>
              <a:schemeClr val="accent3"/>
            </a:solidFill>
            <a:ln>
              <a:noFill/>
            </a:ln>
            <a:effectLst/>
          </c:spPr>
          <c:invertIfNegative val="0"/>
          <c:cat>
            <c:numRef>
              <c:f>Hoja4!$A$28:$A$47</c:f>
              <c:numCache>
                <c:formatCode>General</c:formatCode>
                <c:ptCount val="20"/>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numCache>
            </c:numRef>
          </c:cat>
          <c:val>
            <c:numRef>
              <c:f>Hoja4!$D$28:$D$47</c:f>
              <c:numCache>
                <c:formatCode>0.0%</c:formatCode>
                <c:ptCount val="20"/>
                <c:pt idx="0">
                  <c:v>1.0570995799765226E-2</c:v>
                </c:pt>
                <c:pt idx="1">
                  <c:v>1.0788998149270701E-2</c:v>
                </c:pt>
                <c:pt idx="2">
                  <c:v>1.3784636666332476E-2</c:v>
                </c:pt>
                <c:pt idx="3">
                  <c:v>1.4126152962398894E-2</c:v>
                </c:pt>
                <c:pt idx="4">
                  <c:v>1.7114396489242904E-2</c:v>
                </c:pt>
                <c:pt idx="5">
                  <c:v>1.5097017164895924E-2</c:v>
                </c:pt>
                <c:pt idx="6">
                  <c:v>1.7054907819929504E-2</c:v>
                </c:pt>
                <c:pt idx="7">
                  <c:v>1.8569802851461842E-2</c:v>
                </c:pt>
                <c:pt idx="8">
                  <c:v>1.4766061880021802E-2</c:v>
                </c:pt>
                <c:pt idx="9">
                  <c:v>9.803355368535575E-3</c:v>
                </c:pt>
                <c:pt idx="10">
                  <c:v>1.2840394131146619E-2</c:v>
                </c:pt>
                <c:pt idx="11">
                  <c:v>1.3063562547213766E-2</c:v>
                </c:pt>
                <c:pt idx="12">
                  <c:v>1.2075852775048782E-2</c:v>
                </c:pt>
                <c:pt idx="13">
                  <c:v>1.1633635550839764E-2</c:v>
                </c:pt>
                <c:pt idx="14">
                  <c:v>1.2530866059355012E-2</c:v>
                </c:pt>
                <c:pt idx="15">
                  <c:v>1.3072354237160475E-2</c:v>
                </c:pt>
                <c:pt idx="16">
                  <c:v>1.0657911300490031E-2</c:v>
                </c:pt>
                <c:pt idx="17">
                  <c:v>7.4789315759382375E-3</c:v>
                </c:pt>
                <c:pt idx="18">
                  <c:v>7.2400938214438144E-3</c:v>
                </c:pt>
                <c:pt idx="19">
                  <c:v>7.565330902126367E-3</c:v>
                </c:pt>
              </c:numCache>
            </c:numRef>
          </c:val>
        </c:ser>
        <c:ser>
          <c:idx val="3"/>
          <c:order val="3"/>
          <c:tx>
            <c:strRef>
              <c:f>Hoja4!$E$27</c:f>
              <c:strCache>
                <c:ptCount val="1"/>
                <c:pt idx="0">
                  <c:v> 6 </c:v>
                </c:pt>
              </c:strCache>
            </c:strRef>
          </c:tx>
          <c:spPr>
            <a:solidFill>
              <a:schemeClr val="accent4"/>
            </a:solidFill>
            <a:ln>
              <a:noFill/>
            </a:ln>
            <a:effectLst/>
          </c:spPr>
          <c:invertIfNegative val="0"/>
          <c:cat>
            <c:numRef>
              <c:f>Hoja4!$A$28:$A$47</c:f>
              <c:numCache>
                <c:formatCode>General</c:formatCode>
                <c:ptCount val="20"/>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numCache>
            </c:numRef>
          </c:cat>
          <c:val>
            <c:numRef>
              <c:f>Hoja4!$E$28:$E$47</c:f>
              <c:numCache>
                <c:formatCode>0.0%</c:formatCode>
                <c:ptCount val="20"/>
                <c:pt idx="0">
                  <c:v>5.5741655262234475E-3</c:v>
                </c:pt>
                <c:pt idx="1">
                  <c:v>5.526123882179425E-3</c:v>
                </c:pt>
                <c:pt idx="2">
                  <c:v>6.2864356793226484E-3</c:v>
                </c:pt>
                <c:pt idx="3">
                  <c:v>1.9016279973768424E-2</c:v>
                </c:pt>
                <c:pt idx="4">
                  <c:v>2.2169552135813397E-2</c:v>
                </c:pt>
                <c:pt idx="5">
                  <c:v>2.0432935658103165E-2</c:v>
                </c:pt>
                <c:pt idx="6">
                  <c:v>1.0354014577456922E-2</c:v>
                </c:pt>
                <c:pt idx="7">
                  <c:v>1.1631477644329785E-2</c:v>
                </c:pt>
                <c:pt idx="8">
                  <c:v>8.9650217607905106E-3</c:v>
                </c:pt>
                <c:pt idx="9">
                  <c:v>6.203396415201656E-3</c:v>
                </c:pt>
                <c:pt idx="10">
                  <c:v>7.0217110505324861E-3</c:v>
                </c:pt>
                <c:pt idx="11">
                  <c:v>7.2596992996202892E-3</c:v>
                </c:pt>
                <c:pt idx="12">
                  <c:v>0</c:v>
                </c:pt>
                <c:pt idx="13">
                  <c:v>0</c:v>
                </c:pt>
                <c:pt idx="14">
                  <c:v>0</c:v>
                </c:pt>
                <c:pt idx="15">
                  <c:v>0</c:v>
                </c:pt>
                <c:pt idx="16">
                  <c:v>0</c:v>
                </c:pt>
                <c:pt idx="17">
                  <c:v>0</c:v>
                </c:pt>
                <c:pt idx="18">
                  <c:v>0</c:v>
                </c:pt>
                <c:pt idx="19">
                  <c:v>0</c:v>
                </c:pt>
              </c:numCache>
            </c:numRef>
          </c:val>
        </c:ser>
        <c:ser>
          <c:idx val="4"/>
          <c:order val="4"/>
          <c:tx>
            <c:strRef>
              <c:f>Hoja4!$F$27</c:f>
              <c:strCache>
                <c:ptCount val="1"/>
                <c:pt idx="0">
                  <c:v> 7 </c:v>
                </c:pt>
              </c:strCache>
            </c:strRef>
          </c:tx>
          <c:spPr>
            <a:solidFill>
              <a:schemeClr val="accent5"/>
            </a:solidFill>
            <a:ln>
              <a:noFill/>
            </a:ln>
            <a:effectLst/>
          </c:spPr>
          <c:invertIfNegative val="0"/>
          <c:dLbls>
            <c:dLbl>
              <c:idx val="6"/>
              <c:showLegendKey val="0"/>
              <c:showVal val="1"/>
              <c:showCatName val="0"/>
              <c:showSerName val="0"/>
              <c:showPercent val="0"/>
              <c:showBubbleSize val="0"/>
              <c:extLst>
                <c:ext xmlns:c15="http://schemas.microsoft.com/office/drawing/2012/chart" uri="{CE6537A1-D6FC-4f65-9D91-7224C49458BB}"/>
              </c:extLst>
            </c:dLbl>
            <c:dLbl>
              <c:idx val="18"/>
              <c:layout>
                <c:manualLayout>
                  <c:x val="1.910949742021785E-2"/>
                  <c:y val="-8.5780270537776371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UY"/>
              </a:p>
            </c:txPr>
            <c:showLegendKey val="0"/>
            <c:showVal val="0"/>
            <c:showCatName val="0"/>
            <c:showSerName val="0"/>
            <c:showPercent val="0"/>
            <c:showBubbleSize val="0"/>
            <c:extLst>
              <c:ext xmlns:c15="http://schemas.microsoft.com/office/drawing/2012/chart" uri="{CE6537A1-D6FC-4f65-9D91-7224C49458BB}">
                <c15:showLeaderLines val="1"/>
                <c15:leaderLines>
                  <c:spPr>
                    <a:ln w="12700" cap="flat" cmpd="sng" algn="ctr">
                      <a:solidFill>
                        <a:schemeClr val="tx1"/>
                      </a:solidFill>
                      <a:round/>
                    </a:ln>
                    <a:effectLst/>
                  </c:spPr>
                </c15:leaderLines>
              </c:ext>
            </c:extLst>
          </c:dLbls>
          <c:cat>
            <c:numRef>
              <c:f>Hoja4!$A$28:$A$47</c:f>
              <c:numCache>
                <c:formatCode>General</c:formatCode>
                <c:ptCount val="20"/>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numCache>
            </c:numRef>
          </c:cat>
          <c:val>
            <c:numRef>
              <c:f>Hoja4!$F$28:$F$47</c:f>
              <c:numCache>
                <c:formatCode>0.0%</c:formatCode>
                <c:ptCount val="20"/>
                <c:pt idx="0">
                  <c:v>3.4317942425148962E-2</c:v>
                </c:pt>
                <c:pt idx="1">
                  <c:v>2.9949124540526312E-2</c:v>
                </c:pt>
                <c:pt idx="2">
                  <c:v>3.3527754061443635E-2</c:v>
                </c:pt>
                <c:pt idx="3">
                  <c:v>4.3910121030311645E-2</c:v>
                </c:pt>
                <c:pt idx="4">
                  <c:v>5.5651958752692132E-2</c:v>
                </c:pt>
                <c:pt idx="5">
                  <c:v>5.2326635976392151E-2</c:v>
                </c:pt>
                <c:pt idx="6">
                  <c:v>6.2115151156342412E-2</c:v>
                </c:pt>
                <c:pt idx="7">
                  <c:v>5.7843874129993901E-2</c:v>
                </c:pt>
                <c:pt idx="8">
                  <c:v>5.1385476925998222E-2</c:v>
                </c:pt>
                <c:pt idx="9">
                  <c:v>3.2628462925317403E-2</c:v>
                </c:pt>
                <c:pt idx="10">
                  <c:v>3.7983872915290283E-2</c:v>
                </c:pt>
                <c:pt idx="11">
                  <c:v>3.9862150609474331E-2</c:v>
                </c:pt>
                <c:pt idx="12">
                  <c:v>3.2680429280769953E-2</c:v>
                </c:pt>
                <c:pt idx="13">
                  <c:v>3.6626102239383625E-2</c:v>
                </c:pt>
                <c:pt idx="14">
                  <c:v>3.0138052362220318E-2</c:v>
                </c:pt>
                <c:pt idx="15">
                  <c:v>2.8569223245727412E-2</c:v>
                </c:pt>
                <c:pt idx="16">
                  <c:v>2.9044694884480613E-2</c:v>
                </c:pt>
                <c:pt idx="17">
                  <c:v>3.1931035061075141E-2</c:v>
                </c:pt>
                <c:pt idx="18">
                  <c:v>3.0849959871403917E-2</c:v>
                </c:pt>
                <c:pt idx="19">
                  <c:v>3.2991495819175563E-2</c:v>
                </c:pt>
              </c:numCache>
            </c:numRef>
          </c:val>
        </c:ser>
        <c:ser>
          <c:idx val="5"/>
          <c:order val="5"/>
          <c:tx>
            <c:strRef>
              <c:f>Hoja4!$G$27</c:f>
              <c:strCache>
                <c:ptCount val="1"/>
                <c:pt idx="0">
                  <c:v> 8 </c:v>
                </c:pt>
              </c:strCache>
            </c:strRef>
          </c:tx>
          <c:spPr>
            <a:solidFill>
              <a:schemeClr val="accent6"/>
            </a:solidFill>
            <a:ln>
              <a:noFill/>
            </a:ln>
            <a:effectLst/>
          </c:spPr>
          <c:invertIfNegative val="0"/>
          <c:cat>
            <c:numRef>
              <c:f>Hoja4!$A$28:$A$47</c:f>
              <c:numCache>
                <c:formatCode>General</c:formatCode>
                <c:ptCount val="20"/>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numCache>
            </c:numRef>
          </c:cat>
          <c:val>
            <c:numRef>
              <c:f>Hoja4!$G$28:$G$47</c:f>
              <c:numCache>
                <c:formatCode>0.0%</c:formatCode>
                <c:ptCount val="20"/>
                <c:pt idx="0">
                  <c:v>2.7988256527573897E-2</c:v>
                </c:pt>
                <c:pt idx="1">
                  <c:v>4.4952733599228035E-3</c:v>
                </c:pt>
                <c:pt idx="2">
                  <c:v>5.0861780874113208E-2</c:v>
                </c:pt>
                <c:pt idx="3">
                  <c:v>1.4559865877926232E-2</c:v>
                </c:pt>
                <c:pt idx="4">
                  <c:v>1.9930921410937986E-2</c:v>
                </c:pt>
                <c:pt idx="5">
                  <c:v>1.8235255274283685E-2</c:v>
                </c:pt>
                <c:pt idx="6">
                  <c:v>2.0384923341995764E-2</c:v>
                </c:pt>
                <c:pt idx="7">
                  <c:v>2.3506522184743864E-2</c:v>
                </c:pt>
                <c:pt idx="8">
                  <c:v>2.0453168557113759E-2</c:v>
                </c:pt>
                <c:pt idx="9">
                  <c:v>1.493245529165599E-2</c:v>
                </c:pt>
                <c:pt idx="10">
                  <c:v>1.6310406829402265E-2</c:v>
                </c:pt>
                <c:pt idx="11">
                  <c:v>1.7257700724372819E-2</c:v>
                </c:pt>
                <c:pt idx="12">
                  <c:v>1.6099694256515976E-2</c:v>
                </c:pt>
                <c:pt idx="13">
                  <c:v>1.6867668695210551E-2</c:v>
                </c:pt>
                <c:pt idx="14">
                  <c:v>1.7443476790130242E-2</c:v>
                </c:pt>
                <c:pt idx="15">
                  <c:v>1.9355650149642106E-2</c:v>
                </c:pt>
                <c:pt idx="16">
                  <c:v>1.9010499100114101E-2</c:v>
                </c:pt>
                <c:pt idx="17">
                  <c:v>2.0585236836094194E-2</c:v>
                </c:pt>
                <c:pt idx="18">
                  <c:v>2.0310082193313674E-2</c:v>
                </c:pt>
                <c:pt idx="19">
                  <c:v>2.0749245912474373E-2</c:v>
                </c:pt>
              </c:numCache>
            </c:numRef>
          </c:val>
        </c:ser>
        <c:ser>
          <c:idx val="6"/>
          <c:order val="6"/>
          <c:tx>
            <c:strRef>
              <c:f>Hoja4!$H$27</c:f>
              <c:strCache>
                <c:ptCount val="1"/>
                <c:pt idx="0">
                  <c:v> 10 </c:v>
                </c:pt>
              </c:strCache>
            </c:strRef>
          </c:tx>
          <c:spPr>
            <a:solidFill>
              <a:schemeClr val="accent1">
                <a:lumMod val="60000"/>
              </a:schemeClr>
            </a:solidFill>
            <a:ln>
              <a:noFill/>
            </a:ln>
            <a:effectLst/>
          </c:spPr>
          <c:invertIfNegative val="0"/>
          <c:cat>
            <c:numRef>
              <c:f>Hoja4!$A$28:$A$47</c:f>
              <c:numCache>
                <c:formatCode>General</c:formatCode>
                <c:ptCount val="20"/>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numCache>
            </c:numRef>
          </c:cat>
          <c:val>
            <c:numRef>
              <c:f>Hoja4!$H$28:$H$47</c:f>
              <c:numCache>
                <c:formatCode>0.0%</c:formatCode>
                <c:ptCount val="20"/>
                <c:pt idx="0">
                  <c:v>6.6135666906754053E-3</c:v>
                </c:pt>
                <c:pt idx="1">
                  <c:v>5.8132902736715269E-3</c:v>
                </c:pt>
                <c:pt idx="2">
                  <c:v>9.7956120665005867E-3</c:v>
                </c:pt>
                <c:pt idx="3">
                  <c:v>1.1594167221094288E-2</c:v>
                </c:pt>
                <c:pt idx="4">
                  <c:v>1.4614766072976262E-2</c:v>
                </c:pt>
                <c:pt idx="5">
                  <c:v>1.3218700139959631E-2</c:v>
                </c:pt>
                <c:pt idx="6">
                  <c:v>1.4825410991750127E-2</c:v>
                </c:pt>
                <c:pt idx="7">
                  <c:v>1.3822059318397908E-2</c:v>
                </c:pt>
                <c:pt idx="8">
                  <c:v>1.5084476473385768E-2</c:v>
                </c:pt>
                <c:pt idx="9">
                  <c:v>8.013210525897884E-3</c:v>
                </c:pt>
                <c:pt idx="10">
                  <c:v>8.8868599162507684E-3</c:v>
                </c:pt>
                <c:pt idx="11">
                  <c:v>4.1353803929071011E-3</c:v>
                </c:pt>
                <c:pt idx="12">
                  <c:v>0</c:v>
                </c:pt>
                <c:pt idx="13">
                  <c:v>0</c:v>
                </c:pt>
                <c:pt idx="14">
                  <c:v>0</c:v>
                </c:pt>
                <c:pt idx="15">
                  <c:v>0</c:v>
                </c:pt>
                <c:pt idx="16">
                  <c:v>0</c:v>
                </c:pt>
                <c:pt idx="17">
                  <c:v>0</c:v>
                </c:pt>
                <c:pt idx="18">
                  <c:v>0</c:v>
                </c:pt>
                <c:pt idx="19">
                  <c:v>0</c:v>
                </c:pt>
              </c:numCache>
            </c:numRef>
          </c:val>
        </c:ser>
        <c:ser>
          <c:idx val="7"/>
          <c:order val="7"/>
          <c:tx>
            <c:strRef>
              <c:f>Hoja4!$I$27</c:f>
              <c:strCache>
                <c:ptCount val="1"/>
                <c:pt idx="0">
                  <c:v> 15 </c:v>
                </c:pt>
              </c:strCache>
            </c:strRef>
          </c:tx>
          <c:spPr>
            <a:solidFill>
              <a:schemeClr val="accent2">
                <a:lumMod val="60000"/>
              </a:schemeClr>
            </a:solidFill>
            <a:ln>
              <a:noFill/>
            </a:ln>
            <a:effectLst/>
          </c:spPr>
          <c:invertIfNegative val="0"/>
          <c:dLbls>
            <c:dLbl>
              <c:idx val="1"/>
              <c:layout>
                <c:manualLayout>
                  <c:x val="2.6753296388304988E-2"/>
                  <c:y val="3.2992411745297978E-3"/>
                </c:manualLayout>
              </c:layout>
              <c:tx>
                <c:rich>
                  <a:bodyPr/>
                  <a:lstStyle/>
                  <a:p>
                    <a:fld id="{2C3F520E-7D0D-4ABE-BCE2-7E8F0466AA47}" type="VALUE">
                      <a:rPr lang="en-US"/>
                      <a:pPr/>
                      <a:t>[VALOR]</a:t>
                    </a:fld>
                    <a:endParaRPr lang="es-UY"/>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Lst>
            </c:dLbl>
            <c:dLbl>
              <c:idx val="8"/>
              <c:layout>
                <c:manualLayout>
                  <c:x val="2.2931396904261419E-2"/>
                  <c:y val="7.5882547014186674E-2"/>
                </c:manualLayout>
              </c:layout>
              <c:showLegendKey val="0"/>
              <c:showVal val="1"/>
              <c:showCatName val="0"/>
              <c:showSerName val="0"/>
              <c:showPercent val="0"/>
              <c:showBubbleSize val="0"/>
              <c:extLst>
                <c:ext xmlns:c15="http://schemas.microsoft.com/office/drawing/2012/chart" uri="{CE6537A1-D6FC-4f65-9D91-7224C49458BB}"/>
              </c:extLst>
            </c:dLbl>
            <c:dLbl>
              <c:idx val="17"/>
              <c:layout>
                <c:manualLayout>
                  <c:x val="2.4842346646283202E-2"/>
                  <c:y val="4.2890135268888158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UY"/>
              </a:p>
            </c:txPr>
            <c:showLegendKey val="0"/>
            <c:showVal val="0"/>
            <c:showCatName val="0"/>
            <c:showSerName val="0"/>
            <c:showPercent val="0"/>
            <c:showBubbleSize val="0"/>
            <c:extLst>
              <c:ext xmlns:c15="http://schemas.microsoft.com/office/drawing/2012/chart" uri="{CE6537A1-D6FC-4f65-9D91-7224C49458BB}">
                <c15:showLeaderLines val="1"/>
                <c15:leaderLines>
                  <c:spPr>
                    <a:ln w="12700" cap="flat" cmpd="sng" algn="ctr">
                      <a:solidFill>
                        <a:schemeClr val="tx1"/>
                      </a:solidFill>
                      <a:round/>
                    </a:ln>
                    <a:effectLst/>
                  </c:spPr>
                </c15:leaderLines>
              </c:ext>
            </c:extLst>
          </c:dLbls>
          <c:cat>
            <c:numRef>
              <c:f>Hoja4!$A$28:$A$47</c:f>
              <c:numCache>
                <c:formatCode>General</c:formatCode>
                <c:ptCount val="20"/>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numCache>
            </c:numRef>
          </c:cat>
          <c:val>
            <c:numRef>
              <c:f>Hoja4!$I$28:$I$47</c:f>
              <c:numCache>
                <c:formatCode>0.0%</c:formatCode>
                <c:ptCount val="20"/>
                <c:pt idx="0">
                  <c:v>3.603610306290117E-2</c:v>
                </c:pt>
                <c:pt idx="1">
                  <c:v>3.3311975679517047E-2</c:v>
                </c:pt>
                <c:pt idx="2">
                  <c:v>4.1177235015471804E-2</c:v>
                </c:pt>
                <c:pt idx="3">
                  <c:v>4.932050981862679E-2</c:v>
                </c:pt>
                <c:pt idx="4">
                  <c:v>5.2460399487853616E-2</c:v>
                </c:pt>
                <c:pt idx="5">
                  <c:v>5.3649136690966416E-2</c:v>
                </c:pt>
                <c:pt idx="6">
                  <c:v>5.9826555590963212E-2</c:v>
                </c:pt>
                <c:pt idx="7">
                  <c:v>5.5812941164937215E-2</c:v>
                </c:pt>
                <c:pt idx="8">
                  <c:v>6.1079417077956562E-2</c:v>
                </c:pt>
                <c:pt idx="9">
                  <c:v>4.8099950617314161E-2</c:v>
                </c:pt>
                <c:pt idx="10">
                  <c:v>4.9149551882872802E-2</c:v>
                </c:pt>
                <c:pt idx="11">
                  <c:v>4.9516028976224861E-2</c:v>
                </c:pt>
                <c:pt idx="12">
                  <c:v>4.4990934227343751E-2</c:v>
                </c:pt>
                <c:pt idx="13">
                  <c:v>3.8665171532708396E-2</c:v>
                </c:pt>
                <c:pt idx="14">
                  <c:v>3.8374853465912497E-2</c:v>
                </c:pt>
                <c:pt idx="15">
                  <c:v>3.7858464416185386E-2</c:v>
                </c:pt>
                <c:pt idx="16">
                  <c:v>3.8971652396851117E-2</c:v>
                </c:pt>
                <c:pt idx="17">
                  <c:v>4.4085516185430614E-2</c:v>
                </c:pt>
                <c:pt idx="18">
                  <c:v>4.0956111291498239E-2</c:v>
                </c:pt>
                <c:pt idx="19">
                  <c:v>4.3560143605746969E-2</c:v>
                </c:pt>
              </c:numCache>
            </c:numRef>
          </c:val>
        </c:ser>
        <c:ser>
          <c:idx val="8"/>
          <c:order val="8"/>
          <c:tx>
            <c:strRef>
              <c:f>Hoja4!$J$27</c:f>
              <c:strCache>
                <c:ptCount val="1"/>
                <c:pt idx="0">
                  <c:v> 16 </c:v>
                </c:pt>
              </c:strCache>
            </c:strRef>
          </c:tx>
          <c:spPr>
            <a:solidFill>
              <a:schemeClr val="accent3">
                <a:lumMod val="60000"/>
              </a:schemeClr>
            </a:solidFill>
            <a:ln>
              <a:noFill/>
            </a:ln>
            <a:effectLst/>
          </c:spPr>
          <c:invertIfNegative val="0"/>
          <c:dLbls>
            <c:dLbl>
              <c:idx val="2"/>
              <c:showLegendKey val="0"/>
              <c:showVal val="1"/>
              <c:showCatName val="0"/>
              <c:showSerName val="0"/>
              <c:showPercent val="0"/>
              <c:showBubbleSize val="0"/>
              <c:extLst>
                <c:ext xmlns:c15="http://schemas.microsoft.com/office/drawing/2012/chart" uri="{CE6537A1-D6FC-4f65-9D91-7224C49458BB}"/>
              </c:extLst>
            </c:dLbl>
            <c:dLbl>
              <c:idx val="4"/>
              <c:showLegendKey val="0"/>
              <c:showVal val="1"/>
              <c:showCatName val="0"/>
              <c:showSerName val="0"/>
              <c:showPercent val="0"/>
              <c:showBubbleSize val="0"/>
              <c:extLst>
                <c:ext xmlns:c15="http://schemas.microsoft.com/office/drawing/2012/chart" uri="{CE6537A1-D6FC-4f65-9D91-7224C49458BB}"/>
              </c:extLst>
            </c:dLbl>
            <c:dLbl>
              <c:idx val="9"/>
              <c:showLegendKey val="0"/>
              <c:showVal val="1"/>
              <c:showCatName val="0"/>
              <c:showSerName val="0"/>
              <c:showPercent val="0"/>
              <c:showBubbleSize val="0"/>
              <c:extLst>
                <c:ext xmlns:c15="http://schemas.microsoft.com/office/drawing/2012/chart" uri="{CE6537A1-D6FC-4f65-9D91-7224C49458BB}"/>
              </c:extLst>
            </c:dLbl>
            <c:dLbl>
              <c:idx val="18"/>
              <c:layout>
                <c:manualLayout>
                  <c:x val="3.8218994840434296E-3"/>
                  <c:y val="0"/>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UY"/>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Hoja4!$A$28:$A$47</c:f>
              <c:numCache>
                <c:formatCode>General</c:formatCode>
                <c:ptCount val="20"/>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numCache>
            </c:numRef>
          </c:cat>
          <c:val>
            <c:numRef>
              <c:f>Hoja4!$J$28:$J$47</c:f>
              <c:numCache>
                <c:formatCode>0.0%</c:formatCode>
                <c:ptCount val="20"/>
                <c:pt idx="0">
                  <c:v>0.37570902048366484</c:v>
                </c:pt>
                <c:pt idx="1">
                  <c:v>0.41592530892440421</c:v>
                </c:pt>
                <c:pt idx="2">
                  <c:v>0.50787721965350308</c:v>
                </c:pt>
                <c:pt idx="3">
                  <c:v>0.48510995047730532</c:v>
                </c:pt>
                <c:pt idx="4">
                  <c:v>0.39222213308031922</c:v>
                </c:pt>
                <c:pt idx="5">
                  <c:v>0.43798493302724506</c:v>
                </c:pt>
                <c:pt idx="6">
                  <c:v>0.35847665342286278</c:v>
                </c:pt>
                <c:pt idx="7">
                  <c:v>0.33821806832081414</c:v>
                </c:pt>
                <c:pt idx="8">
                  <c:v>0.31054712865728284</c:v>
                </c:pt>
                <c:pt idx="9">
                  <c:v>0.44203974737989865</c:v>
                </c:pt>
                <c:pt idx="10">
                  <c:v>0.3359167772440369</c:v>
                </c:pt>
                <c:pt idx="11">
                  <c:v>0.29862404536231862</c:v>
                </c:pt>
                <c:pt idx="12">
                  <c:v>0.32317468952707706</c:v>
                </c:pt>
                <c:pt idx="13">
                  <c:v>0.3074939967075066</c:v>
                </c:pt>
                <c:pt idx="14">
                  <c:v>0.32221547218774582</c:v>
                </c:pt>
                <c:pt idx="15">
                  <c:v>0.31674339799723211</c:v>
                </c:pt>
                <c:pt idx="16">
                  <c:v>0.31326222416646177</c:v>
                </c:pt>
                <c:pt idx="17">
                  <c:v>0.33183144940721759</c:v>
                </c:pt>
                <c:pt idx="18">
                  <c:v>0.32510157123981676</c:v>
                </c:pt>
                <c:pt idx="19">
                  <c:v>0.31586662704325236</c:v>
                </c:pt>
              </c:numCache>
            </c:numRef>
          </c:val>
        </c:ser>
        <c:ser>
          <c:idx val="9"/>
          <c:order val="9"/>
          <c:tx>
            <c:strRef>
              <c:f>Hoja4!$K$27</c:f>
              <c:strCache>
                <c:ptCount val="1"/>
                <c:pt idx="0">
                  <c:v> 24 </c:v>
                </c:pt>
              </c:strCache>
            </c:strRef>
          </c:tx>
          <c:spPr>
            <a:solidFill>
              <a:schemeClr val="accent4">
                <a:lumMod val="60000"/>
              </a:schemeClr>
            </a:solidFill>
            <a:ln>
              <a:noFill/>
            </a:ln>
            <a:effectLst/>
          </c:spPr>
          <c:invertIfNegative val="0"/>
          <c:dLbls>
            <c:dLbl>
              <c:idx val="7"/>
              <c:layout>
                <c:manualLayout>
                  <c:x val="1.7198547678195994E-2"/>
                  <c:y val="6.5984823490597158E-2"/>
                </c:manualLayout>
              </c:layout>
              <c:showLegendKey val="0"/>
              <c:showVal val="1"/>
              <c:showCatName val="0"/>
              <c:showSerName val="0"/>
              <c:showPercent val="0"/>
              <c:showBubbleSize val="0"/>
              <c:extLst>
                <c:ext xmlns:c15="http://schemas.microsoft.com/office/drawing/2012/chart" uri="{CE6537A1-D6FC-4f65-9D91-7224C49458BB}"/>
              </c:extLst>
            </c:dLbl>
            <c:dLbl>
              <c:idx val="9"/>
              <c:layout>
                <c:manualLayout>
                  <c:x val="2.293139690426135E-2"/>
                  <c:y val="7.9181788188716601E-2"/>
                </c:manualLayout>
              </c:layout>
              <c:showLegendKey val="0"/>
              <c:showVal val="1"/>
              <c:showCatName val="0"/>
              <c:showSerName val="0"/>
              <c:showPercent val="0"/>
              <c:showBubbleSize val="0"/>
              <c:extLst>
                <c:ext xmlns:c15="http://schemas.microsoft.com/office/drawing/2012/chart" uri="{CE6537A1-D6FC-4f65-9D91-7224C49458BB}"/>
              </c:extLst>
            </c:dLbl>
            <c:dLbl>
              <c:idx val="18"/>
              <c:layout>
                <c:manualLayout>
                  <c:x val="2.2931396904261419E-2"/>
                  <c:y val="9.5677994061365887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UY"/>
              </a:p>
            </c:txPr>
            <c:showLegendKey val="0"/>
            <c:showVal val="0"/>
            <c:showCatName val="0"/>
            <c:showSerName val="0"/>
            <c:showPercent val="0"/>
            <c:showBubbleSize val="0"/>
            <c:extLst>
              <c:ext xmlns:c15="http://schemas.microsoft.com/office/drawing/2012/chart" uri="{CE6537A1-D6FC-4f65-9D91-7224C49458BB}">
                <c15:showLeaderLines val="1"/>
                <c15:leaderLines>
                  <c:spPr>
                    <a:ln w="12700" cap="flat" cmpd="sng" algn="ctr">
                      <a:solidFill>
                        <a:schemeClr val="tx1"/>
                      </a:solidFill>
                      <a:round/>
                    </a:ln>
                    <a:effectLst/>
                  </c:spPr>
                </c15:leaderLines>
              </c:ext>
            </c:extLst>
          </c:dLbls>
          <c:cat>
            <c:numRef>
              <c:f>Hoja4!$A$28:$A$47</c:f>
              <c:numCache>
                <c:formatCode>General</c:formatCode>
                <c:ptCount val="20"/>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numCache>
            </c:numRef>
          </c:cat>
          <c:val>
            <c:numRef>
              <c:f>Hoja4!$K$28:$K$47</c:f>
              <c:numCache>
                <c:formatCode>0.0%</c:formatCode>
                <c:ptCount val="20"/>
                <c:pt idx="0">
                  <c:v>0</c:v>
                </c:pt>
                <c:pt idx="1">
                  <c:v>0</c:v>
                </c:pt>
                <c:pt idx="2">
                  <c:v>0</c:v>
                </c:pt>
                <c:pt idx="3">
                  <c:v>0</c:v>
                </c:pt>
                <c:pt idx="4">
                  <c:v>4.7143859520046287E-2</c:v>
                </c:pt>
                <c:pt idx="5">
                  <c:v>4.9493760305859266E-2</c:v>
                </c:pt>
                <c:pt idx="6">
                  <c:v>8.3216852082291917E-2</c:v>
                </c:pt>
                <c:pt idx="7">
                  <c:v>0.10748884852998905</c:v>
                </c:pt>
                <c:pt idx="8">
                  <c:v>8.9487971204303088E-2</c:v>
                </c:pt>
                <c:pt idx="9">
                  <c:v>7.5677463185186256E-2</c:v>
                </c:pt>
                <c:pt idx="10">
                  <c:v>8.9167408253451472E-2</c:v>
                </c:pt>
                <c:pt idx="11">
                  <c:v>9.8977448574045626E-2</c:v>
                </c:pt>
                <c:pt idx="12">
                  <c:v>9.5833640344447246E-2</c:v>
                </c:pt>
                <c:pt idx="13">
                  <c:v>9.868049571643972E-2</c:v>
                </c:pt>
                <c:pt idx="14">
                  <c:v>9.9787089920094094E-2</c:v>
                </c:pt>
                <c:pt idx="15">
                  <c:v>9.7013203873067111E-2</c:v>
                </c:pt>
                <c:pt idx="16">
                  <c:v>9.827289065773688E-2</c:v>
                </c:pt>
                <c:pt idx="17">
                  <c:v>0.15828834164982661</c:v>
                </c:pt>
                <c:pt idx="18">
                  <c:v>0.17811931611640552</c:v>
                </c:pt>
                <c:pt idx="19">
                  <c:v>0.17735894474887159</c:v>
                </c:pt>
              </c:numCache>
            </c:numRef>
          </c:val>
        </c:ser>
        <c:dLbls>
          <c:showLegendKey val="0"/>
          <c:showVal val="0"/>
          <c:showCatName val="0"/>
          <c:showSerName val="0"/>
          <c:showPercent val="0"/>
          <c:showBubbleSize val="0"/>
        </c:dLbls>
        <c:gapWidth val="150"/>
        <c:overlap val="100"/>
        <c:axId val="1700623264"/>
        <c:axId val="1700618368"/>
      </c:barChart>
      <c:catAx>
        <c:axId val="17006232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UY"/>
          </a:p>
        </c:txPr>
        <c:crossAx val="1700618368"/>
        <c:crosses val="autoZero"/>
        <c:auto val="1"/>
        <c:lblAlgn val="ctr"/>
        <c:lblOffset val="100"/>
        <c:noMultiLvlLbl val="0"/>
      </c:catAx>
      <c:valAx>
        <c:axId val="170061836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UY"/>
          </a:p>
        </c:txPr>
        <c:crossAx val="17006232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UY"/>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UY"/>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UY"/>
              <a:t>Presupuesto en Cultura desde el</a:t>
            </a:r>
            <a:r>
              <a:rPr lang="es-UY" baseline="0"/>
              <a:t> tipo de gasto</a:t>
            </a:r>
            <a:endParaRPr lang="es-UY"/>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UY"/>
        </a:p>
      </c:txPr>
    </c:title>
    <c:autoTitleDeleted val="0"/>
    <c:plotArea>
      <c:layout/>
      <c:lineChart>
        <c:grouping val="standard"/>
        <c:varyColors val="0"/>
        <c:ser>
          <c:idx val="0"/>
          <c:order val="0"/>
          <c:tx>
            <c:v>Funcionamiento</c:v>
          </c:tx>
          <c:spPr>
            <a:ln w="28575" cap="rnd">
              <a:solidFill>
                <a:schemeClr val="accent1"/>
              </a:solidFill>
              <a:round/>
            </a:ln>
            <a:effectLst/>
          </c:spPr>
          <c:marker>
            <c:symbol val="none"/>
          </c:marker>
          <c:cat>
            <c:numRef>
              <c:f>CulturasobrePresupuesto!$B$1:$U$1</c:f>
              <c:numCache>
                <c:formatCode>General</c:formatCode>
                <c:ptCount val="20"/>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numCache>
            </c:numRef>
          </c:cat>
          <c:val>
            <c:numRef>
              <c:f>CulturasobrePresupuesto!$B$2:$U$2</c:f>
              <c:numCache>
                <c:formatCode>_-* #,##0_-;\-* #,##0_-;_-* "-"??_-;_-@_-</c:formatCode>
                <c:ptCount val="20"/>
                <c:pt idx="0">
                  <c:v>317549830</c:v>
                </c:pt>
                <c:pt idx="1">
                  <c:v>312758486</c:v>
                </c:pt>
                <c:pt idx="2">
                  <c:v>187845135</c:v>
                </c:pt>
                <c:pt idx="3">
                  <c:v>167729185</c:v>
                </c:pt>
                <c:pt idx="4">
                  <c:v>175301488</c:v>
                </c:pt>
                <c:pt idx="5">
                  <c:v>177887140</c:v>
                </c:pt>
                <c:pt idx="6">
                  <c:v>183368210</c:v>
                </c:pt>
                <c:pt idx="7">
                  <c:v>234051630</c:v>
                </c:pt>
                <c:pt idx="8">
                  <c:v>332312006</c:v>
                </c:pt>
                <c:pt idx="9">
                  <c:v>468092233</c:v>
                </c:pt>
                <c:pt idx="10">
                  <c:v>527460028</c:v>
                </c:pt>
                <c:pt idx="11">
                  <c:v>629208900</c:v>
                </c:pt>
                <c:pt idx="12">
                  <c:v>720773265</c:v>
                </c:pt>
                <c:pt idx="13">
                  <c:v>748202523</c:v>
                </c:pt>
                <c:pt idx="14">
                  <c:v>838833962</c:v>
                </c:pt>
                <c:pt idx="15">
                  <c:v>1000631668</c:v>
                </c:pt>
                <c:pt idx="16">
                  <c:v>1109034190</c:v>
                </c:pt>
                <c:pt idx="17">
                  <c:v>958786014</c:v>
                </c:pt>
                <c:pt idx="18">
                  <c:v>979176586</c:v>
                </c:pt>
                <c:pt idx="19">
                  <c:v>890307658</c:v>
                </c:pt>
              </c:numCache>
            </c:numRef>
          </c:val>
          <c:smooth val="0"/>
        </c:ser>
        <c:ser>
          <c:idx val="1"/>
          <c:order val="1"/>
          <c:tx>
            <c:v>Inversión</c:v>
          </c:tx>
          <c:spPr>
            <a:ln w="28575" cap="rnd">
              <a:solidFill>
                <a:schemeClr val="accent2"/>
              </a:solidFill>
              <a:round/>
            </a:ln>
            <a:effectLst/>
          </c:spPr>
          <c:marker>
            <c:symbol val="none"/>
          </c:marker>
          <c:cat>
            <c:numRef>
              <c:f>CulturasobrePresupuesto!$B$1:$U$1</c:f>
              <c:numCache>
                <c:formatCode>General</c:formatCode>
                <c:ptCount val="20"/>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numCache>
            </c:numRef>
          </c:cat>
          <c:val>
            <c:numRef>
              <c:f>CulturasobrePresupuesto!$B$3:$U$3</c:f>
              <c:numCache>
                <c:formatCode>_-* #,##0_-;\-* #,##0_-;_-* "-"??_-;_-@_-</c:formatCode>
                <c:ptCount val="20"/>
                <c:pt idx="0">
                  <c:v>162056325</c:v>
                </c:pt>
                <c:pt idx="1">
                  <c:v>204108991</c:v>
                </c:pt>
                <c:pt idx="2">
                  <c:v>200799564</c:v>
                </c:pt>
                <c:pt idx="3">
                  <c:v>128600168</c:v>
                </c:pt>
                <c:pt idx="4">
                  <c:v>70609761</c:v>
                </c:pt>
                <c:pt idx="5">
                  <c:v>119316004</c:v>
                </c:pt>
                <c:pt idx="6">
                  <c:v>64350306</c:v>
                </c:pt>
                <c:pt idx="7">
                  <c:v>82818063</c:v>
                </c:pt>
                <c:pt idx="8">
                  <c:v>72894264</c:v>
                </c:pt>
                <c:pt idx="9">
                  <c:v>429010119</c:v>
                </c:pt>
                <c:pt idx="10">
                  <c:v>175048750</c:v>
                </c:pt>
                <c:pt idx="11">
                  <c:v>85659594</c:v>
                </c:pt>
                <c:pt idx="12">
                  <c:v>219547431</c:v>
                </c:pt>
                <c:pt idx="13">
                  <c:v>186267542</c:v>
                </c:pt>
                <c:pt idx="14">
                  <c:v>174226003</c:v>
                </c:pt>
                <c:pt idx="15">
                  <c:v>167867240</c:v>
                </c:pt>
                <c:pt idx="16">
                  <c:v>183638824</c:v>
                </c:pt>
                <c:pt idx="17">
                  <c:v>161733541</c:v>
                </c:pt>
                <c:pt idx="18">
                  <c:v>184951862</c:v>
                </c:pt>
                <c:pt idx="19">
                  <c:v>169218804</c:v>
                </c:pt>
              </c:numCache>
            </c:numRef>
          </c:val>
          <c:smooth val="0"/>
        </c:ser>
        <c:ser>
          <c:idx val="2"/>
          <c:order val="2"/>
          <c:tx>
            <c:v>Personal</c:v>
          </c:tx>
          <c:spPr>
            <a:ln w="28575" cap="rnd">
              <a:solidFill>
                <a:schemeClr val="accent3"/>
              </a:solidFill>
              <a:round/>
            </a:ln>
            <a:effectLst/>
          </c:spPr>
          <c:marker>
            <c:symbol val="none"/>
          </c:marker>
          <c:cat>
            <c:numRef>
              <c:f>CulturasobrePresupuesto!$B$1:$U$1</c:f>
              <c:numCache>
                <c:formatCode>General</c:formatCode>
                <c:ptCount val="20"/>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numCache>
            </c:numRef>
          </c:cat>
          <c:val>
            <c:numRef>
              <c:f>CulturasobrePresupuesto!$B$4:$U$4</c:f>
              <c:numCache>
                <c:formatCode>_-* #,##0_-;\-* #,##0_-;_-* "-"??_-;_-@_-</c:formatCode>
                <c:ptCount val="20"/>
                <c:pt idx="0">
                  <c:v>254804221</c:v>
                </c:pt>
                <c:pt idx="1">
                  <c:v>270655042</c:v>
                </c:pt>
                <c:pt idx="2">
                  <c:v>263569880</c:v>
                </c:pt>
                <c:pt idx="3">
                  <c:v>258074243</c:v>
                </c:pt>
                <c:pt idx="4">
                  <c:v>248070178</c:v>
                </c:pt>
                <c:pt idx="5">
                  <c:v>271688042</c:v>
                </c:pt>
                <c:pt idx="6">
                  <c:v>296354023</c:v>
                </c:pt>
                <c:pt idx="7">
                  <c:v>333621004</c:v>
                </c:pt>
                <c:pt idx="8">
                  <c:v>403748487</c:v>
                </c:pt>
                <c:pt idx="9">
                  <c:v>515668049</c:v>
                </c:pt>
                <c:pt idx="10">
                  <c:v>553351529</c:v>
                </c:pt>
                <c:pt idx="11">
                  <c:v>657005456</c:v>
                </c:pt>
                <c:pt idx="12">
                  <c:v>920211841</c:v>
                </c:pt>
                <c:pt idx="13">
                  <c:v>1167713031</c:v>
                </c:pt>
                <c:pt idx="14">
                  <c:v>1267094644</c:v>
                </c:pt>
                <c:pt idx="15">
                  <c:v>1398144972</c:v>
                </c:pt>
                <c:pt idx="16">
                  <c:v>1511764193</c:v>
                </c:pt>
                <c:pt idx="17">
                  <c:v>1516742840</c:v>
                </c:pt>
                <c:pt idx="18">
                  <c:v>1524210057</c:v>
                </c:pt>
                <c:pt idx="19">
                  <c:v>1506915674</c:v>
                </c:pt>
              </c:numCache>
            </c:numRef>
          </c:val>
          <c:smooth val="0"/>
        </c:ser>
        <c:dLbls>
          <c:showLegendKey val="0"/>
          <c:showVal val="0"/>
          <c:showCatName val="0"/>
          <c:showSerName val="0"/>
          <c:showPercent val="0"/>
          <c:showBubbleSize val="0"/>
        </c:dLbls>
        <c:smooth val="0"/>
        <c:axId val="1700621088"/>
        <c:axId val="1700622720"/>
      </c:lineChart>
      <c:catAx>
        <c:axId val="17006210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UY"/>
          </a:p>
        </c:txPr>
        <c:crossAx val="1700622720"/>
        <c:crosses val="autoZero"/>
        <c:auto val="1"/>
        <c:lblAlgn val="ctr"/>
        <c:lblOffset val="100"/>
        <c:noMultiLvlLbl val="0"/>
      </c:catAx>
      <c:valAx>
        <c:axId val="1700622720"/>
        <c:scaling>
          <c:orientation val="minMax"/>
        </c:scaling>
        <c:delete val="0"/>
        <c:axPos val="l"/>
        <c:majorGridlines>
          <c:spPr>
            <a:ln w="9525" cap="flat" cmpd="sng" algn="ctr">
              <a:solidFill>
                <a:schemeClr val="tx1">
                  <a:lumMod val="15000"/>
                  <a:lumOff val="85000"/>
                </a:schemeClr>
              </a:solidFill>
              <a:round/>
            </a:ln>
            <a:effectLst/>
          </c:spPr>
        </c:majorGridlines>
        <c:numFmt formatCode="_-* #,##0_-;\-* #,##0_-;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UY"/>
          </a:p>
        </c:txPr>
        <c:crossAx val="17006210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UY"/>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UY"/>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UY" sz="1800" b="0" i="0" baseline="0">
                <a:effectLst/>
              </a:rPr>
              <a:t>% Asignación Funcionamiento Unidad Ejecutora / Total Asignación Funcionamiento en Cultura</a:t>
            </a:r>
            <a:endParaRPr lang="es-UY">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UY"/>
        </a:p>
      </c:txPr>
    </c:title>
    <c:autoTitleDeleted val="0"/>
    <c:plotArea>
      <c:layout/>
      <c:barChart>
        <c:barDir val="col"/>
        <c:grouping val="stacked"/>
        <c:varyColors val="0"/>
        <c:ser>
          <c:idx val="0"/>
          <c:order val="0"/>
          <c:tx>
            <c:strRef>
              <c:f>Hoja4!$B$77</c:f>
              <c:strCache>
                <c:ptCount val="1"/>
                <c:pt idx="0">
                  <c:v>1</c:v>
                </c:pt>
              </c:strCache>
            </c:strRef>
          </c:tx>
          <c:spPr>
            <a:solidFill>
              <a:schemeClr val="accent1"/>
            </a:solidFill>
            <a:ln>
              <a:noFill/>
            </a:ln>
            <a:effectLst/>
          </c:spPr>
          <c:invertIfNegative val="0"/>
          <c:dLbls>
            <c:dLbl>
              <c:idx val="0"/>
              <c:showLegendKey val="0"/>
              <c:showVal val="1"/>
              <c:showCatName val="0"/>
              <c:showSerName val="0"/>
              <c:showPercent val="0"/>
              <c:showBubbleSize val="0"/>
              <c:extLst>
                <c:ext xmlns:c15="http://schemas.microsoft.com/office/drawing/2012/chart" uri="{CE6537A1-D6FC-4f65-9D91-7224C49458BB}"/>
              </c:extLst>
            </c:dLbl>
            <c:dLbl>
              <c:idx val="8"/>
              <c:showLegendKey val="0"/>
              <c:showVal val="1"/>
              <c:showCatName val="0"/>
              <c:showSerName val="0"/>
              <c:showPercent val="0"/>
              <c:showBubbleSize val="0"/>
              <c:extLst>
                <c:ext xmlns:c15="http://schemas.microsoft.com/office/drawing/2012/chart" uri="{CE6537A1-D6FC-4f65-9D91-7224C49458BB}"/>
              </c:extLst>
            </c:dLbl>
            <c:dLbl>
              <c:idx val="19"/>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UY"/>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Hoja4!$A$78:$A$97</c:f>
              <c:numCache>
                <c:formatCode>General</c:formatCode>
                <c:ptCount val="20"/>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numCache>
            </c:numRef>
          </c:cat>
          <c:val>
            <c:numRef>
              <c:f>Hoja4!$B$78:$B$97</c:f>
              <c:numCache>
                <c:formatCode>0.0%</c:formatCode>
                <c:ptCount val="20"/>
                <c:pt idx="0">
                  <c:v>0.7358972511495282</c:v>
                </c:pt>
                <c:pt idx="1">
                  <c:v>0.75138372104793982</c:v>
                </c:pt>
                <c:pt idx="2">
                  <c:v>0.56629404855228216</c:v>
                </c:pt>
                <c:pt idx="3">
                  <c:v>0.54807650797325458</c:v>
                </c:pt>
                <c:pt idx="4">
                  <c:v>0.5452591024213097</c:v>
                </c:pt>
                <c:pt idx="5">
                  <c:v>0.53394037927643334</c:v>
                </c:pt>
                <c:pt idx="6">
                  <c:v>0.52812085039167911</c:v>
                </c:pt>
                <c:pt idx="7">
                  <c:v>0.48212181218306405</c:v>
                </c:pt>
                <c:pt idx="8">
                  <c:v>0.5564521072404468</c:v>
                </c:pt>
                <c:pt idx="9">
                  <c:v>0.47159361432942215</c:v>
                </c:pt>
                <c:pt idx="10">
                  <c:v>0.39299070829306521</c:v>
                </c:pt>
                <c:pt idx="11">
                  <c:v>0.36050282346610163</c:v>
                </c:pt>
                <c:pt idx="12">
                  <c:v>0.43984447453111347</c:v>
                </c:pt>
                <c:pt idx="13">
                  <c:v>0.42446765713459106</c:v>
                </c:pt>
                <c:pt idx="14">
                  <c:v>0.37957082262246317</c:v>
                </c:pt>
                <c:pt idx="15">
                  <c:v>0.398478989573614</c:v>
                </c:pt>
                <c:pt idx="16">
                  <c:v>0.38241194259304123</c:v>
                </c:pt>
                <c:pt idx="17">
                  <c:v>0.20475958465535146</c:v>
                </c:pt>
                <c:pt idx="18">
                  <c:v>0.19838329038639818</c:v>
                </c:pt>
                <c:pt idx="19">
                  <c:v>0.2134253819930638</c:v>
                </c:pt>
              </c:numCache>
            </c:numRef>
          </c:val>
        </c:ser>
        <c:ser>
          <c:idx val="1"/>
          <c:order val="1"/>
          <c:tx>
            <c:strRef>
              <c:f>Hoja4!$C$77</c:f>
              <c:strCache>
                <c:ptCount val="1"/>
                <c:pt idx="0">
                  <c:v>3</c:v>
                </c:pt>
              </c:strCache>
            </c:strRef>
          </c:tx>
          <c:spPr>
            <a:solidFill>
              <a:schemeClr val="accent2"/>
            </a:solidFill>
            <a:ln>
              <a:noFill/>
            </a:ln>
            <a:effectLst/>
          </c:spPr>
          <c:invertIfNegative val="0"/>
          <c:dLbls>
            <c:dLbl>
              <c:idx val="10"/>
              <c:showLegendKey val="0"/>
              <c:showVal val="1"/>
              <c:showCatName val="0"/>
              <c:showSerName val="0"/>
              <c:showPercent val="0"/>
              <c:showBubbleSize val="0"/>
              <c:extLst>
                <c:ext xmlns:c15="http://schemas.microsoft.com/office/drawing/2012/chart" uri="{CE6537A1-D6FC-4f65-9D91-7224C49458BB}"/>
              </c:extLst>
            </c:dLbl>
            <c:dLbl>
              <c:idx val="19"/>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UY"/>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Hoja4!$A$78:$A$97</c:f>
              <c:numCache>
                <c:formatCode>General</c:formatCode>
                <c:ptCount val="20"/>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numCache>
            </c:numRef>
          </c:cat>
          <c:val>
            <c:numRef>
              <c:f>Hoja4!$C$78:$C$97</c:f>
              <c:numCache>
                <c:formatCode>0.0%</c:formatCode>
                <c:ptCount val="20"/>
                <c:pt idx="0">
                  <c:v>0</c:v>
                </c:pt>
                <c:pt idx="1">
                  <c:v>0</c:v>
                </c:pt>
                <c:pt idx="2">
                  <c:v>0</c:v>
                </c:pt>
                <c:pt idx="3">
                  <c:v>0</c:v>
                </c:pt>
                <c:pt idx="4">
                  <c:v>0</c:v>
                </c:pt>
                <c:pt idx="5">
                  <c:v>0</c:v>
                </c:pt>
                <c:pt idx="6">
                  <c:v>0</c:v>
                </c:pt>
                <c:pt idx="7">
                  <c:v>0</c:v>
                </c:pt>
                <c:pt idx="8">
                  <c:v>0</c:v>
                </c:pt>
                <c:pt idx="9">
                  <c:v>0.16884836454870208</c:v>
                </c:pt>
                <c:pt idx="10">
                  <c:v>0.22189659459844416</c:v>
                </c:pt>
                <c:pt idx="11">
                  <c:v>0.19905489258019077</c:v>
                </c:pt>
                <c:pt idx="12">
                  <c:v>0.15580112283992664</c:v>
                </c:pt>
                <c:pt idx="13">
                  <c:v>0.1466958953304679</c:v>
                </c:pt>
                <c:pt idx="14">
                  <c:v>0.15352763101406236</c:v>
                </c:pt>
                <c:pt idx="15">
                  <c:v>0.13409165159462053</c:v>
                </c:pt>
                <c:pt idx="16">
                  <c:v>0.14417000705812325</c:v>
                </c:pt>
                <c:pt idx="17">
                  <c:v>0.18249850899472966</c:v>
                </c:pt>
                <c:pt idx="18">
                  <c:v>0.17125468827335705</c:v>
                </c:pt>
                <c:pt idx="19">
                  <c:v>0.17974743512764438</c:v>
                </c:pt>
              </c:numCache>
            </c:numRef>
          </c:val>
        </c:ser>
        <c:ser>
          <c:idx val="2"/>
          <c:order val="2"/>
          <c:tx>
            <c:strRef>
              <c:f>Hoja4!$D$77</c:f>
              <c:strCache>
                <c:ptCount val="1"/>
                <c:pt idx="0">
                  <c:v>4</c:v>
                </c:pt>
              </c:strCache>
            </c:strRef>
          </c:tx>
          <c:spPr>
            <a:solidFill>
              <a:schemeClr val="accent3"/>
            </a:solidFill>
            <a:ln>
              <a:noFill/>
            </a:ln>
            <a:effectLst/>
          </c:spPr>
          <c:invertIfNegative val="0"/>
          <c:cat>
            <c:numRef>
              <c:f>Hoja4!$A$78:$A$97</c:f>
              <c:numCache>
                <c:formatCode>General</c:formatCode>
                <c:ptCount val="20"/>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numCache>
            </c:numRef>
          </c:cat>
          <c:val>
            <c:numRef>
              <c:f>Hoja4!$D$78:$D$97</c:f>
              <c:numCache>
                <c:formatCode>0.0%</c:formatCode>
                <c:ptCount val="20"/>
                <c:pt idx="0">
                  <c:v>5.0868929767652529E-3</c:v>
                </c:pt>
                <c:pt idx="1">
                  <c:v>5.7334527447482275E-3</c:v>
                </c:pt>
                <c:pt idx="2">
                  <c:v>9.7185588543456294E-3</c:v>
                </c:pt>
                <c:pt idx="3">
                  <c:v>9.5002250204697537E-3</c:v>
                </c:pt>
                <c:pt idx="4">
                  <c:v>1.1705981640041755E-2</c:v>
                </c:pt>
                <c:pt idx="5">
                  <c:v>1.1868429612168704E-2</c:v>
                </c:pt>
                <c:pt idx="6">
                  <c:v>1.4130688192898868E-2</c:v>
                </c:pt>
                <c:pt idx="7">
                  <c:v>9.6641283805628704E-3</c:v>
                </c:pt>
                <c:pt idx="8">
                  <c:v>7.0634161800341337E-3</c:v>
                </c:pt>
                <c:pt idx="9">
                  <c:v>5.4617142087892753E-3</c:v>
                </c:pt>
                <c:pt idx="10">
                  <c:v>5.0448182966387738E-3</c:v>
                </c:pt>
                <c:pt idx="11">
                  <c:v>7.3805615273401255E-3</c:v>
                </c:pt>
                <c:pt idx="12">
                  <c:v>9.010797591112096E-3</c:v>
                </c:pt>
                <c:pt idx="13">
                  <c:v>7.2795009807792377E-3</c:v>
                </c:pt>
                <c:pt idx="14">
                  <c:v>9.7175059299756863E-3</c:v>
                </c:pt>
                <c:pt idx="15">
                  <c:v>1.0422314557408151E-2</c:v>
                </c:pt>
                <c:pt idx="16">
                  <c:v>8.235983238713317E-3</c:v>
                </c:pt>
                <c:pt idx="17">
                  <c:v>4.1238920283207219E-4</c:v>
                </c:pt>
                <c:pt idx="18">
                  <c:v>9.5348480891882761E-5</c:v>
                </c:pt>
                <c:pt idx="19">
                  <c:v>4.2717817440137082E-5</c:v>
                </c:pt>
              </c:numCache>
            </c:numRef>
          </c:val>
        </c:ser>
        <c:ser>
          <c:idx val="3"/>
          <c:order val="3"/>
          <c:tx>
            <c:strRef>
              <c:f>Hoja4!$E$77</c:f>
              <c:strCache>
                <c:ptCount val="1"/>
                <c:pt idx="0">
                  <c:v>6</c:v>
                </c:pt>
              </c:strCache>
            </c:strRef>
          </c:tx>
          <c:spPr>
            <a:solidFill>
              <a:schemeClr val="accent4"/>
            </a:solidFill>
            <a:ln>
              <a:noFill/>
            </a:ln>
            <a:effectLst/>
          </c:spPr>
          <c:invertIfNegative val="0"/>
          <c:cat>
            <c:numRef>
              <c:f>Hoja4!$A$78:$A$97</c:f>
              <c:numCache>
                <c:formatCode>General</c:formatCode>
                <c:ptCount val="20"/>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numCache>
            </c:numRef>
          </c:cat>
          <c:val>
            <c:numRef>
              <c:f>Hoja4!$E$78:$E$97</c:f>
              <c:numCache>
                <c:formatCode>0.0%</c:formatCode>
                <c:ptCount val="20"/>
                <c:pt idx="0">
                  <c:v>1.434162317139329E-3</c:v>
                </c:pt>
                <c:pt idx="1">
                  <c:v>1.7555303039803051E-3</c:v>
                </c:pt>
                <c:pt idx="2">
                  <c:v>2.8903383630350609E-3</c:v>
                </c:pt>
                <c:pt idx="3">
                  <c:v>3.9477625793030591E-3</c:v>
                </c:pt>
                <c:pt idx="4">
                  <c:v>5.7480459036377378E-3</c:v>
                </c:pt>
                <c:pt idx="5">
                  <c:v>7.2186331176047917E-3</c:v>
                </c:pt>
                <c:pt idx="6">
                  <c:v>6.1651035367580893E-3</c:v>
                </c:pt>
                <c:pt idx="7">
                  <c:v>9.0900926432343158E-3</c:v>
                </c:pt>
                <c:pt idx="8">
                  <c:v>6.4709518800834418E-3</c:v>
                </c:pt>
                <c:pt idx="9">
                  <c:v>4.7703483257753605E-3</c:v>
                </c:pt>
                <c:pt idx="10">
                  <c:v>4.2910834562804069E-3</c:v>
                </c:pt>
                <c:pt idx="11">
                  <c:v>3.5796934849459377E-3</c:v>
                </c:pt>
                <c:pt idx="12">
                  <c:v>0</c:v>
                </c:pt>
                <c:pt idx="13">
                  <c:v>0</c:v>
                </c:pt>
                <c:pt idx="14">
                  <c:v>0</c:v>
                </c:pt>
                <c:pt idx="15">
                  <c:v>0</c:v>
                </c:pt>
                <c:pt idx="16">
                  <c:v>0</c:v>
                </c:pt>
                <c:pt idx="17">
                  <c:v>0</c:v>
                </c:pt>
                <c:pt idx="18">
                  <c:v>0</c:v>
                </c:pt>
                <c:pt idx="19">
                  <c:v>0</c:v>
                </c:pt>
              </c:numCache>
            </c:numRef>
          </c:val>
        </c:ser>
        <c:ser>
          <c:idx val="4"/>
          <c:order val="4"/>
          <c:tx>
            <c:strRef>
              <c:f>Hoja4!$F$77</c:f>
              <c:strCache>
                <c:ptCount val="1"/>
                <c:pt idx="0">
                  <c:v>7</c:v>
                </c:pt>
              </c:strCache>
            </c:strRef>
          </c:tx>
          <c:spPr>
            <a:solidFill>
              <a:schemeClr val="accent5"/>
            </a:solidFill>
            <a:ln>
              <a:noFill/>
            </a:ln>
            <a:effectLst/>
          </c:spPr>
          <c:invertIfNegative val="0"/>
          <c:cat>
            <c:numRef>
              <c:f>Hoja4!$A$78:$A$97</c:f>
              <c:numCache>
                <c:formatCode>General</c:formatCode>
                <c:ptCount val="20"/>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numCache>
            </c:numRef>
          </c:cat>
          <c:val>
            <c:numRef>
              <c:f>Hoja4!$F$78:$F$97</c:f>
              <c:numCache>
                <c:formatCode>0.0%</c:formatCode>
                <c:ptCount val="20"/>
                <c:pt idx="0">
                  <c:v>2.9692606039184465E-2</c:v>
                </c:pt>
                <c:pt idx="1">
                  <c:v>2.7218449318110589E-2</c:v>
                </c:pt>
                <c:pt idx="2">
                  <c:v>1.7261415899858145E-2</c:v>
                </c:pt>
                <c:pt idx="3">
                  <c:v>1.8329857144420036E-2</c:v>
                </c:pt>
                <c:pt idx="4">
                  <c:v>2.0348230016165064E-2</c:v>
                </c:pt>
                <c:pt idx="5">
                  <c:v>2.1449245853297771E-2</c:v>
                </c:pt>
                <c:pt idx="6">
                  <c:v>2.4752774758503668E-2</c:v>
                </c:pt>
                <c:pt idx="7">
                  <c:v>1.4184746331397052E-2</c:v>
                </c:pt>
                <c:pt idx="8">
                  <c:v>1.1284837539092705E-2</c:v>
                </c:pt>
                <c:pt idx="9">
                  <c:v>1.0510091074294754E-2</c:v>
                </c:pt>
                <c:pt idx="10">
                  <c:v>8.868768724973412E-3</c:v>
                </c:pt>
                <c:pt idx="11">
                  <c:v>7.6375985781510719E-3</c:v>
                </c:pt>
                <c:pt idx="12">
                  <c:v>8.5923192503539938E-3</c:v>
                </c:pt>
                <c:pt idx="13">
                  <c:v>7.2913640789741092E-3</c:v>
                </c:pt>
                <c:pt idx="14">
                  <c:v>4.8552063751562792E-3</c:v>
                </c:pt>
                <c:pt idx="15">
                  <c:v>4.956781959453236E-3</c:v>
                </c:pt>
                <c:pt idx="16">
                  <c:v>5.7618872868112391E-3</c:v>
                </c:pt>
                <c:pt idx="17">
                  <c:v>6.6312283524819961E-3</c:v>
                </c:pt>
                <c:pt idx="18">
                  <c:v>6.8091865096945852E-3</c:v>
                </c:pt>
                <c:pt idx="19">
                  <c:v>7.3493190148432933E-3</c:v>
                </c:pt>
              </c:numCache>
            </c:numRef>
          </c:val>
        </c:ser>
        <c:ser>
          <c:idx val="5"/>
          <c:order val="5"/>
          <c:tx>
            <c:strRef>
              <c:f>Hoja4!$G$77</c:f>
              <c:strCache>
                <c:ptCount val="1"/>
                <c:pt idx="0">
                  <c:v>8</c:v>
                </c:pt>
              </c:strCache>
            </c:strRef>
          </c:tx>
          <c:spPr>
            <a:solidFill>
              <a:schemeClr val="accent6"/>
            </a:solidFill>
            <a:ln>
              <a:noFill/>
            </a:ln>
            <a:effectLst/>
          </c:spPr>
          <c:invertIfNegative val="0"/>
          <c:cat>
            <c:numRef>
              <c:f>Hoja4!$A$78:$A$97</c:f>
              <c:numCache>
                <c:formatCode>General</c:formatCode>
                <c:ptCount val="20"/>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numCache>
            </c:numRef>
          </c:cat>
          <c:val>
            <c:numRef>
              <c:f>Hoja4!$G$78:$G$97</c:f>
              <c:numCache>
                <c:formatCode>0.0%</c:formatCode>
                <c:ptCount val="20"/>
                <c:pt idx="0">
                  <c:v>2.1222653465127032E-2</c:v>
                </c:pt>
                <c:pt idx="1">
                  <c:v>3.9724965288391884E-3</c:v>
                </c:pt>
                <c:pt idx="2">
                  <c:v>5.1277543067591289E-2</c:v>
                </c:pt>
                <c:pt idx="3">
                  <c:v>1.1086937553533096E-2</c:v>
                </c:pt>
                <c:pt idx="4">
                  <c:v>1.7888884092073423E-2</c:v>
                </c:pt>
                <c:pt idx="5">
                  <c:v>1.7906454620609448E-2</c:v>
                </c:pt>
                <c:pt idx="6">
                  <c:v>1.8278795435697388E-2</c:v>
                </c:pt>
                <c:pt idx="7">
                  <c:v>1.286156819330846E-2</c:v>
                </c:pt>
                <c:pt idx="8">
                  <c:v>1.4044295468518221E-2</c:v>
                </c:pt>
                <c:pt idx="9">
                  <c:v>9.7489782531811411E-3</c:v>
                </c:pt>
                <c:pt idx="10">
                  <c:v>9.6769797312489438E-3</c:v>
                </c:pt>
                <c:pt idx="11">
                  <c:v>9.8291521305563217E-3</c:v>
                </c:pt>
                <c:pt idx="12">
                  <c:v>1.0437608281711171E-2</c:v>
                </c:pt>
                <c:pt idx="13">
                  <c:v>9.9394479053367211E-3</c:v>
                </c:pt>
                <c:pt idx="14">
                  <c:v>7.9957539916582446E-3</c:v>
                </c:pt>
                <c:pt idx="15">
                  <c:v>1.0993852535156822E-2</c:v>
                </c:pt>
                <c:pt idx="16">
                  <c:v>1.179272840993297E-2</c:v>
                </c:pt>
                <c:pt idx="17">
                  <c:v>1.3916972927391909E-2</c:v>
                </c:pt>
                <c:pt idx="18">
                  <c:v>1.3754710021221852E-2</c:v>
                </c:pt>
                <c:pt idx="19">
                  <c:v>1.2900516913221924E-2</c:v>
                </c:pt>
              </c:numCache>
            </c:numRef>
          </c:val>
        </c:ser>
        <c:ser>
          <c:idx val="6"/>
          <c:order val="6"/>
          <c:tx>
            <c:strRef>
              <c:f>Hoja4!$H$77</c:f>
              <c:strCache>
                <c:ptCount val="1"/>
                <c:pt idx="0">
                  <c:v>10</c:v>
                </c:pt>
              </c:strCache>
            </c:strRef>
          </c:tx>
          <c:spPr>
            <a:solidFill>
              <a:schemeClr val="accent1">
                <a:lumMod val="60000"/>
              </a:schemeClr>
            </a:solidFill>
            <a:ln>
              <a:noFill/>
            </a:ln>
            <a:effectLst/>
          </c:spPr>
          <c:invertIfNegative val="0"/>
          <c:cat>
            <c:numRef>
              <c:f>Hoja4!$A$78:$A$97</c:f>
              <c:numCache>
                <c:formatCode>General</c:formatCode>
                <c:ptCount val="20"/>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numCache>
            </c:numRef>
          </c:cat>
          <c:val>
            <c:numRef>
              <c:f>Hoja4!$H$78:$H$97</c:f>
              <c:numCache>
                <c:formatCode>0.0%</c:formatCode>
                <c:ptCount val="20"/>
                <c:pt idx="0">
                  <c:v>4.1314775699927159E-3</c:v>
                </c:pt>
                <c:pt idx="1">
                  <c:v>2.9333208883739127E-3</c:v>
                </c:pt>
                <c:pt idx="2">
                  <c:v>3.9197767884699281E-3</c:v>
                </c:pt>
                <c:pt idx="3">
                  <c:v>4.6321515244946787E-3</c:v>
                </c:pt>
                <c:pt idx="4">
                  <c:v>6.9268379513127689E-3</c:v>
                </c:pt>
                <c:pt idx="5">
                  <c:v>6.1671855537168115E-3</c:v>
                </c:pt>
                <c:pt idx="6">
                  <c:v>5.8639771855764963E-3</c:v>
                </c:pt>
                <c:pt idx="7">
                  <c:v>4.7938269005005432E-3</c:v>
                </c:pt>
                <c:pt idx="8">
                  <c:v>1.2172410045275342E-2</c:v>
                </c:pt>
                <c:pt idx="9">
                  <c:v>3.6657220073976317E-3</c:v>
                </c:pt>
                <c:pt idx="10">
                  <c:v>1.6047471942271993E-4</c:v>
                </c:pt>
                <c:pt idx="11">
                  <c:v>7.4719222820910513E-5</c:v>
                </c:pt>
                <c:pt idx="12">
                  <c:v>0</c:v>
                </c:pt>
                <c:pt idx="13">
                  <c:v>0</c:v>
                </c:pt>
                <c:pt idx="14">
                  <c:v>0</c:v>
                </c:pt>
                <c:pt idx="15">
                  <c:v>0</c:v>
                </c:pt>
                <c:pt idx="16">
                  <c:v>0</c:v>
                </c:pt>
                <c:pt idx="17">
                  <c:v>0</c:v>
                </c:pt>
                <c:pt idx="18">
                  <c:v>0</c:v>
                </c:pt>
                <c:pt idx="19">
                  <c:v>0</c:v>
                </c:pt>
              </c:numCache>
            </c:numRef>
          </c:val>
        </c:ser>
        <c:ser>
          <c:idx val="7"/>
          <c:order val="7"/>
          <c:tx>
            <c:strRef>
              <c:f>Hoja4!$I$77</c:f>
              <c:strCache>
                <c:ptCount val="1"/>
                <c:pt idx="0">
                  <c:v>15</c:v>
                </c:pt>
              </c:strCache>
            </c:strRef>
          </c:tx>
          <c:spPr>
            <a:solidFill>
              <a:schemeClr val="accent2">
                <a:lumMod val="60000"/>
              </a:schemeClr>
            </a:solidFill>
            <a:ln>
              <a:noFill/>
            </a:ln>
            <a:effectLst/>
          </c:spPr>
          <c:invertIfNegative val="0"/>
          <c:cat>
            <c:numRef>
              <c:f>Hoja4!$A$78:$A$97</c:f>
              <c:numCache>
                <c:formatCode>General</c:formatCode>
                <c:ptCount val="20"/>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numCache>
            </c:numRef>
          </c:cat>
          <c:val>
            <c:numRef>
              <c:f>Hoja4!$I$78:$I$97</c:f>
              <c:numCache>
                <c:formatCode>0.0%</c:formatCode>
                <c:ptCount val="20"/>
                <c:pt idx="0">
                  <c:v>4.5678021619473076E-2</c:v>
                </c:pt>
                <c:pt idx="1">
                  <c:v>4.4340513913345904E-2</c:v>
                </c:pt>
                <c:pt idx="2">
                  <c:v>6.5585685783131939E-2</c:v>
                </c:pt>
                <c:pt idx="3">
                  <c:v>3.4466363143659223E-2</c:v>
                </c:pt>
                <c:pt idx="4">
                  <c:v>2.3161680179234988E-2</c:v>
                </c:pt>
                <c:pt idx="5">
                  <c:v>2.6450512386673931E-2</c:v>
                </c:pt>
                <c:pt idx="6">
                  <c:v>2.571694951922146E-2</c:v>
                </c:pt>
                <c:pt idx="7">
                  <c:v>2.2274816030975728E-2</c:v>
                </c:pt>
                <c:pt idx="8">
                  <c:v>2.7042327203790524E-2</c:v>
                </c:pt>
                <c:pt idx="9">
                  <c:v>2.4952174329284375E-2</c:v>
                </c:pt>
                <c:pt idx="10">
                  <c:v>2.2482441077032667E-2</c:v>
                </c:pt>
                <c:pt idx="11">
                  <c:v>1.9484082313520994E-2</c:v>
                </c:pt>
                <c:pt idx="12">
                  <c:v>1.7532802080276938E-2</c:v>
                </c:pt>
                <c:pt idx="13">
                  <c:v>1.1549119034446239E-2</c:v>
                </c:pt>
                <c:pt idx="14">
                  <c:v>1.0781075170630728E-2</c:v>
                </c:pt>
                <c:pt idx="15">
                  <c:v>1.0997385303620034E-2</c:v>
                </c:pt>
                <c:pt idx="16">
                  <c:v>1.4004974003551685E-2</c:v>
                </c:pt>
                <c:pt idx="17">
                  <c:v>1.5244432841716442E-2</c:v>
                </c:pt>
                <c:pt idx="18">
                  <c:v>1.3058855964106969E-2</c:v>
                </c:pt>
                <c:pt idx="19">
                  <c:v>1.4598622041730208E-2</c:v>
                </c:pt>
              </c:numCache>
            </c:numRef>
          </c:val>
        </c:ser>
        <c:ser>
          <c:idx val="8"/>
          <c:order val="8"/>
          <c:tx>
            <c:strRef>
              <c:f>Hoja4!$J$77</c:f>
              <c:strCache>
                <c:ptCount val="1"/>
                <c:pt idx="0">
                  <c:v>16</c:v>
                </c:pt>
              </c:strCache>
            </c:strRef>
          </c:tx>
          <c:spPr>
            <a:solidFill>
              <a:schemeClr val="accent3">
                <a:lumMod val="60000"/>
              </a:schemeClr>
            </a:solidFill>
            <a:ln>
              <a:noFill/>
            </a:ln>
            <a:effectLst/>
          </c:spPr>
          <c:invertIfNegative val="0"/>
          <c:dLbls>
            <c:dLbl>
              <c:idx val="0"/>
              <c:showLegendKey val="0"/>
              <c:showVal val="1"/>
              <c:showCatName val="0"/>
              <c:showSerName val="0"/>
              <c:showPercent val="0"/>
              <c:showBubbleSize val="0"/>
              <c:extLst>
                <c:ext xmlns:c15="http://schemas.microsoft.com/office/drawing/2012/chart" uri="{CE6537A1-D6FC-4f65-9D91-7224C49458BB}"/>
              </c:extLst>
            </c:dLbl>
            <c:dLbl>
              <c:idx val="19"/>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UY"/>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Hoja4!$A$78:$A$97</c:f>
              <c:numCache>
                <c:formatCode>General</c:formatCode>
                <c:ptCount val="20"/>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numCache>
            </c:numRef>
          </c:cat>
          <c:val>
            <c:numRef>
              <c:f>Hoja4!$J$78:$J$97</c:f>
              <c:numCache>
                <c:formatCode>0.0%</c:formatCode>
                <c:ptCount val="20"/>
                <c:pt idx="0">
                  <c:v>0.15685693486278987</c:v>
                </c:pt>
                <c:pt idx="1">
                  <c:v>0.16266251525466202</c:v>
                </c:pt>
                <c:pt idx="2">
                  <c:v>0.28305263269128583</c:v>
                </c:pt>
                <c:pt idx="3">
                  <c:v>0.36996019506086553</c:v>
                </c:pt>
                <c:pt idx="4">
                  <c:v>0.26225536089003421</c:v>
                </c:pt>
                <c:pt idx="5">
                  <c:v>0.26313048261948557</c:v>
                </c:pt>
                <c:pt idx="6">
                  <c:v>0.2691979596681453</c:v>
                </c:pt>
                <c:pt idx="7">
                  <c:v>0.30539698014493638</c:v>
                </c:pt>
                <c:pt idx="8">
                  <c:v>0.2384414392780019</c:v>
                </c:pt>
                <c:pt idx="9">
                  <c:v>0.1991196935754326</c:v>
                </c:pt>
                <c:pt idx="10">
                  <c:v>0.22618874543418482</c:v>
                </c:pt>
                <c:pt idx="11">
                  <c:v>0.28771542010928325</c:v>
                </c:pt>
                <c:pt idx="12">
                  <c:v>0.26537450164719967</c:v>
                </c:pt>
                <c:pt idx="13">
                  <c:v>0.31025165227891111</c:v>
                </c:pt>
                <c:pt idx="14">
                  <c:v>0.35545248941649316</c:v>
                </c:pt>
                <c:pt idx="15">
                  <c:v>0.36335333932285663</c:v>
                </c:pt>
                <c:pt idx="16">
                  <c:v>0.36701736219692199</c:v>
                </c:pt>
                <c:pt idx="17">
                  <c:v>0.44385728388399293</c:v>
                </c:pt>
                <c:pt idx="18">
                  <c:v>0.4616650504753797</c:v>
                </c:pt>
                <c:pt idx="19">
                  <c:v>0.45011514996987706</c:v>
                </c:pt>
              </c:numCache>
            </c:numRef>
          </c:val>
        </c:ser>
        <c:ser>
          <c:idx val="9"/>
          <c:order val="9"/>
          <c:tx>
            <c:strRef>
              <c:f>Hoja4!$K$77</c:f>
              <c:strCache>
                <c:ptCount val="1"/>
                <c:pt idx="0">
                  <c:v>24</c:v>
                </c:pt>
              </c:strCache>
            </c:strRef>
          </c:tx>
          <c:spPr>
            <a:solidFill>
              <a:schemeClr val="accent4">
                <a:lumMod val="60000"/>
              </a:schemeClr>
            </a:solidFill>
            <a:ln>
              <a:noFill/>
            </a:ln>
            <a:effectLst/>
          </c:spPr>
          <c:invertIfNegative val="0"/>
          <c:dLbls>
            <c:dLbl>
              <c:idx val="7"/>
              <c:layout>
                <c:manualLayout>
                  <c:x val="2.6812218711098273E-2"/>
                  <c:y val="8.3333333333333329E-2"/>
                </c:manualLayout>
              </c:layout>
              <c:showLegendKey val="0"/>
              <c:showVal val="1"/>
              <c:showCatName val="0"/>
              <c:showSerName val="0"/>
              <c:showPercent val="0"/>
              <c:showBubbleSize val="0"/>
              <c:extLst>
                <c:ext xmlns:c15="http://schemas.microsoft.com/office/drawing/2012/chart" uri="{CE6537A1-D6FC-4f65-9D91-7224C49458BB}"/>
              </c:extLst>
            </c:dLbl>
            <c:dLbl>
              <c:idx val="19"/>
              <c:layout>
                <c:manualLayout>
                  <c:x val="1.5321267834913339E-2"/>
                  <c:y val="9.7222222222222182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UY"/>
              </a:p>
            </c:txPr>
            <c:showLegendKey val="0"/>
            <c:showVal val="0"/>
            <c:showCatName val="0"/>
            <c:showSerName val="0"/>
            <c:showPercent val="0"/>
            <c:showBubbleSize val="0"/>
            <c:extLst>
              <c:ext xmlns:c15="http://schemas.microsoft.com/office/drawing/2012/chart" uri="{CE6537A1-D6FC-4f65-9D91-7224C49458BB}">
                <c15:showLeaderLines val="1"/>
                <c15:leaderLines>
                  <c:spPr>
                    <a:ln w="12700" cap="flat" cmpd="sng" algn="ctr">
                      <a:solidFill>
                        <a:schemeClr val="tx1"/>
                      </a:solidFill>
                      <a:round/>
                    </a:ln>
                    <a:effectLst/>
                  </c:spPr>
                </c15:leaderLines>
              </c:ext>
            </c:extLst>
          </c:dLbls>
          <c:cat>
            <c:numRef>
              <c:f>Hoja4!$A$78:$A$97</c:f>
              <c:numCache>
                <c:formatCode>General</c:formatCode>
                <c:ptCount val="20"/>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numCache>
            </c:numRef>
          </c:cat>
          <c:val>
            <c:numRef>
              <c:f>Hoja4!$K$78:$K$97</c:f>
              <c:numCache>
                <c:formatCode>0.0%</c:formatCode>
                <c:ptCount val="20"/>
                <c:pt idx="0">
                  <c:v>0</c:v>
                </c:pt>
                <c:pt idx="1">
                  <c:v>0</c:v>
                </c:pt>
                <c:pt idx="2">
                  <c:v>0</c:v>
                </c:pt>
                <c:pt idx="3">
                  <c:v>0</c:v>
                </c:pt>
                <c:pt idx="4">
                  <c:v>0.10670587690619032</c:v>
                </c:pt>
                <c:pt idx="5">
                  <c:v>0.11186867696000959</c:v>
                </c:pt>
                <c:pt idx="6">
                  <c:v>0.10777290131151959</c:v>
                </c:pt>
                <c:pt idx="7">
                  <c:v>0.13961202919202059</c:v>
                </c:pt>
                <c:pt idx="8">
                  <c:v>0.12702821516475693</c:v>
                </c:pt>
                <c:pt idx="9">
                  <c:v>0.10132929934772064</c:v>
                </c:pt>
                <c:pt idx="10">
                  <c:v>0.10839938566870891</c:v>
                </c:pt>
                <c:pt idx="11">
                  <c:v>0.10474105658708896</c:v>
                </c:pt>
                <c:pt idx="12">
                  <c:v>9.3406373778306004E-2</c:v>
                </c:pt>
                <c:pt idx="13">
                  <c:v>8.2525363256493595E-2</c:v>
                </c:pt>
                <c:pt idx="14">
                  <c:v>7.8099515479560427E-2</c:v>
                </c:pt>
                <c:pt idx="15">
                  <c:v>6.6705685153270605E-2</c:v>
                </c:pt>
                <c:pt idx="16">
                  <c:v>6.6605115212904298E-2</c:v>
                </c:pt>
                <c:pt idx="17">
                  <c:v>0.13267959914150354</c:v>
                </c:pt>
                <c:pt idx="18">
                  <c:v>0.13497886988894972</c:v>
                </c:pt>
                <c:pt idx="19">
                  <c:v>0.12182085712217922</c:v>
                </c:pt>
              </c:numCache>
            </c:numRef>
          </c:val>
        </c:ser>
        <c:dLbls>
          <c:showLegendKey val="0"/>
          <c:showVal val="0"/>
          <c:showCatName val="0"/>
          <c:showSerName val="0"/>
          <c:showPercent val="0"/>
          <c:showBubbleSize val="0"/>
        </c:dLbls>
        <c:gapWidth val="150"/>
        <c:overlap val="100"/>
        <c:axId val="1700625440"/>
        <c:axId val="1700621632"/>
      </c:barChart>
      <c:catAx>
        <c:axId val="17006254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UY"/>
          </a:p>
        </c:txPr>
        <c:crossAx val="1700621632"/>
        <c:crosses val="autoZero"/>
        <c:auto val="1"/>
        <c:lblAlgn val="ctr"/>
        <c:lblOffset val="100"/>
        <c:noMultiLvlLbl val="0"/>
      </c:catAx>
      <c:valAx>
        <c:axId val="1700621632"/>
        <c:scaling>
          <c:orientation val="minMax"/>
          <c:max val="1"/>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UY"/>
          </a:p>
        </c:txPr>
        <c:crossAx val="17006254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UY"/>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UY"/>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UY" sz="1800" b="0" i="0" baseline="0">
                <a:effectLst/>
              </a:rPr>
              <a:t>% Asignación Inversión Unidad Ejecutora / Total Asignación Inversión en Cultura</a:t>
            </a:r>
            <a:endParaRPr lang="es-UY">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UY"/>
        </a:p>
      </c:txPr>
    </c:title>
    <c:autoTitleDeleted val="0"/>
    <c:plotArea>
      <c:layout/>
      <c:barChart>
        <c:barDir val="col"/>
        <c:grouping val="stacked"/>
        <c:varyColors val="0"/>
        <c:ser>
          <c:idx val="0"/>
          <c:order val="0"/>
          <c:tx>
            <c:strRef>
              <c:f>Hoja4!$B$102</c:f>
              <c:strCache>
                <c:ptCount val="1"/>
                <c:pt idx="0">
                  <c:v>1</c:v>
                </c:pt>
              </c:strCache>
            </c:strRef>
          </c:tx>
          <c:spPr>
            <a:solidFill>
              <a:schemeClr val="accent1"/>
            </a:solidFill>
            <a:ln>
              <a:noFill/>
            </a:ln>
            <a:effectLst/>
          </c:spPr>
          <c:invertIfNegative val="0"/>
          <c:dLbls>
            <c:dLbl>
              <c:idx val="0"/>
              <c:showLegendKey val="0"/>
              <c:showVal val="1"/>
              <c:showCatName val="0"/>
              <c:showSerName val="0"/>
              <c:showPercent val="0"/>
              <c:showBubbleSize val="0"/>
              <c:extLst>
                <c:ext xmlns:c15="http://schemas.microsoft.com/office/drawing/2012/chart" uri="{CE6537A1-D6FC-4f65-9D91-7224C49458BB}"/>
              </c:extLst>
            </c:dLbl>
            <c:dLbl>
              <c:idx val="11"/>
              <c:showLegendKey val="0"/>
              <c:showVal val="1"/>
              <c:showCatName val="0"/>
              <c:showSerName val="0"/>
              <c:showPercent val="0"/>
              <c:showBubbleSize val="0"/>
              <c:extLst>
                <c:ext xmlns:c15="http://schemas.microsoft.com/office/drawing/2012/chart" uri="{CE6537A1-D6FC-4f65-9D91-7224C49458BB}"/>
              </c:extLst>
            </c:dLbl>
            <c:dLbl>
              <c:idx val="19"/>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UY"/>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Hoja4!$A$103:$A$122</c:f>
              <c:numCache>
                <c:formatCode>General</c:formatCode>
                <c:ptCount val="20"/>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numCache>
            </c:numRef>
          </c:cat>
          <c:val>
            <c:numRef>
              <c:f>Hoja4!$B$103:$B$122</c:f>
              <c:numCache>
                <c:formatCode>0.0%</c:formatCode>
                <c:ptCount val="20"/>
                <c:pt idx="0">
                  <c:v>0.22629777023513276</c:v>
                </c:pt>
                <c:pt idx="1">
                  <c:v>0.18454167459972404</c:v>
                </c:pt>
                <c:pt idx="2">
                  <c:v>4.139629008357807E-2</c:v>
                </c:pt>
                <c:pt idx="3">
                  <c:v>4.7391990965361723E-2</c:v>
                </c:pt>
                <c:pt idx="4">
                  <c:v>9.1426863773126213E-2</c:v>
                </c:pt>
                <c:pt idx="5">
                  <c:v>5.3235138515031061E-2</c:v>
                </c:pt>
                <c:pt idx="6">
                  <c:v>9.4355790631360792E-2</c:v>
                </c:pt>
                <c:pt idx="7">
                  <c:v>0.16222306479203696</c:v>
                </c:pt>
                <c:pt idx="8">
                  <c:v>0.20685441038268801</c:v>
                </c:pt>
                <c:pt idx="9">
                  <c:v>6.447405031954502E-2</c:v>
                </c:pt>
                <c:pt idx="10">
                  <c:v>0.13700960446732696</c:v>
                </c:pt>
                <c:pt idx="11">
                  <c:v>0.33934898173811096</c:v>
                </c:pt>
                <c:pt idx="12">
                  <c:v>7.8985793279448574E-2</c:v>
                </c:pt>
                <c:pt idx="13">
                  <c:v>0.1384735511246506</c:v>
                </c:pt>
                <c:pt idx="14">
                  <c:v>0.12689166725589177</c:v>
                </c:pt>
                <c:pt idx="15">
                  <c:v>0.14914122016898593</c:v>
                </c:pt>
                <c:pt idx="16">
                  <c:v>0.28206871984760695</c:v>
                </c:pt>
                <c:pt idx="17">
                  <c:v>0.12001075893095051</c:v>
                </c:pt>
                <c:pt idx="18">
                  <c:v>7.7299973330357707E-2</c:v>
                </c:pt>
                <c:pt idx="19">
                  <c:v>0.10621898734138317</c:v>
                </c:pt>
              </c:numCache>
            </c:numRef>
          </c:val>
        </c:ser>
        <c:ser>
          <c:idx val="1"/>
          <c:order val="1"/>
          <c:tx>
            <c:strRef>
              <c:f>Hoja4!$C$102</c:f>
              <c:strCache>
                <c:ptCount val="1"/>
                <c:pt idx="0">
                  <c:v>3</c:v>
                </c:pt>
              </c:strCache>
            </c:strRef>
          </c:tx>
          <c:spPr>
            <a:solidFill>
              <a:schemeClr val="accent2"/>
            </a:solidFill>
            <a:ln>
              <a:noFill/>
            </a:ln>
            <a:effectLst/>
          </c:spPr>
          <c:invertIfNegative val="0"/>
          <c:dLbls>
            <c:dLbl>
              <c:idx val="18"/>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UY"/>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Hoja4!$A$103:$A$122</c:f>
              <c:numCache>
                <c:formatCode>General</c:formatCode>
                <c:ptCount val="20"/>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numCache>
            </c:numRef>
          </c:cat>
          <c:val>
            <c:numRef>
              <c:f>Hoja4!$C$103:$C$122</c:f>
              <c:numCache>
                <c:formatCode>0.0%</c:formatCode>
                <c:ptCount val="20"/>
                <c:pt idx="0">
                  <c:v>0</c:v>
                </c:pt>
                <c:pt idx="1">
                  <c:v>0</c:v>
                </c:pt>
                <c:pt idx="2">
                  <c:v>0</c:v>
                </c:pt>
                <c:pt idx="3">
                  <c:v>0</c:v>
                </c:pt>
                <c:pt idx="4">
                  <c:v>0</c:v>
                </c:pt>
                <c:pt idx="5">
                  <c:v>0</c:v>
                </c:pt>
                <c:pt idx="6">
                  <c:v>0</c:v>
                </c:pt>
                <c:pt idx="7">
                  <c:v>0</c:v>
                </c:pt>
                <c:pt idx="8">
                  <c:v>0</c:v>
                </c:pt>
                <c:pt idx="9">
                  <c:v>0</c:v>
                </c:pt>
                <c:pt idx="10">
                  <c:v>0</c:v>
                </c:pt>
                <c:pt idx="11">
                  <c:v>2.1498654313024178E-2</c:v>
                </c:pt>
                <c:pt idx="12">
                  <c:v>0.1119257004651537</c:v>
                </c:pt>
                <c:pt idx="13">
                  <c:v>0.12347830305292803</c:v>
                </c:pt>
                <c:pt idx="14">
                  <c:v>0.15210129110291304</c:v>
                </c:pt>
                <c:pt idx="15">
                  <c:v>0.16316934143910389</c:v>
                </c:pt>
                <c:pt idx="16">
                  <c:v>0.15519594048369642</c:v>
                </c:pt>
                <c:pt idx="17">
                  <c:v>0.21490111936645226</c:v>
                </c:pt>
                <c:pt idx="18">
                  <c:v>0.29659998232404927</c:v>
                </c:pt>
                <c:pt idx="19">
                  <c:v>0.24823907276876866</c:v>
                </c:pt>
              </c:numCache>
            </c:numRef>
          </c:val>
        </c:ser>
        <c:ser>
          <c:idx val="2"/>
          <c:order val="2"/>
          <c:tx>
            <c:strRef>
              <c:f>Hoja4!$D$102</c:f>
              <c:strCache>
                <c:ptCount val="1"/>
                <c:pt idx="0">
                  <c:v>4</c:v>
                </c:pt>
              </c:strCache>
            </c:strRef>
          </c:tx>
          <c:spPr>
            <a:solidFill>
              <a:schemeClr val="accent3"/>
            </a:solidFill>
            <a:ln>
              <a:noFill/>
            </a:ln>
            <a:effectLst/>
          </c:spPr>
          <c:invertIfNegative val="0"/>
          <c:cat>
            <c:numRef>
              <c:f>Hoja4!$A$103:$A$122</c:f>
              <c:numCache>
                <c:formatCode>General</c:formatCode>
                <c:ptCount val="20"/>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numCache>
            </c:numRef>
          </c:cat>
          <c:val>
            <c:numRef>
              <c:f>Hoja4!$D$103:$D$122</c:f>
              <c:numCache>
                <c:formatCode>0.0%</c:formatCode>
                <c:ptCount val="20"/>
                <c:pt idx="0">
                  <c:v>5.5100657132635825E-3</c:v>
                </c:pt>
                <c:pt idx="1">
                  <c:v>4.9871149478172673E-3</c:v>
                </c:pt>
                <c:pt idx="2">
                  <c:v>4.9704789199641886E-3</c:v>
                </c:pt>
                <c:pt idx="3">
                  <c:v>6.6873940631243965E-3</c:v>
                </c:pt>
                <c:pt idx="4">
                  <c:v>1.0345255240277615E-2</c:v>
                </c:pt>
                <c:pt idx="5">
                  <c:v>3.1983722820620106E-3</c:v>
                </c:pt>
                <c:pt idx="6">
                  <c:v>4.0081705283577049E-3</c:v>
                </c:pt>
                <c:pt idx="7">
                  <c:v>1.8546678639417103E-2</c:v>
                </c:pt>
                <c:pt idx="8">
                  <c:v>2.1345986839238818E-2</c:v>
                </c:pt>
                <c:pt idx="9">
                  <c:v>4.3305388794337507E-3</c:v>
                </c:pt>
                <c:pt idx="10">
                  <c:v>1.4197359307050178E-2</c:v>
                </c:pt>
                <c:pt idx="11">
                  <c:v>2.9012862237007567E-2</c:v>
                </c:pt>
                <c:pt idx="12">
                  <c:v>1.0476096165297421E-2</c:v>
                </c:pt>
                <c:pt idx="13">
                  <c:v>1.5085827459944686E-2</c:v>
                </c:pt>
                <c:pt idx="14">
                  <c:v>1.8940915495834452E-2</c:v>
                </c:pt>
                <c:pt idx="15">
                  <c:v>2.85940246590103E-2</c:v>
                </c:pt>
                <c:pt idx="16">
                  <c:v>1.2524584670614096E-2</c:v>
                </c:pt>
                <c:pt idx="17">
                  <c:v>0</c:v>
                </c:pt>
                <c:pt idx="18">
                  <c:v>0</c:v>
                </c:pt>
                <c:pt idx="19">
                  <c:v>0</c:v>
                </c:pt>
              </c:numCache>
            </c:numRef>
          </c:val>
        </c:ser>
        <c:ser>
          <c:idx val="3"/>
          <c:order val="3"/>
          <c:tx>
            <c:strRef>
              <c:f>Hoja4!$E$102</c:f>
              <c:strCache>
                <c:ptCount val="1"/>
                <c:pt idx="0">
                  <c:v>6</c:v>
                </c:pt>
              </c:strCache>
            </c:strRef>
          </c:tx>
          <c:spPr>
            <a:solidFill>
              <a:schemeClr val="accent4"/>
            </a:solidFill>
            <a:ln>
              <a:noFill/>
            </a:ln>
            <a:effectLst/>
          </c:spPr>
          <c:invertIfNegative val="0"/>
          <c:cat>
            <c:numRef>
              <c:f>Hoja4!$A$103:$A$122</c:f>
              <c:numCache>
                <c:formatCode>General</c:formatCode>
                <c:ptCount val="20"/>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numCache>
            </c:numRef>
          </c:cat>
          <c:val>
            <c:numRef>
              <c:f>Hoja4!$E$103:$E$122</c:f>
              <c:numCache>
                <c:formatCode>0.0%</c:formatCode>
                <c:ptCount val="20"/>
                <c:pt idx="0">
                  <c:v>1.6942380990066263E-3</c:v>
                </c:pt>
                <c:pt idx="1">
                  <c:v>1.4793027907330158E-3</c:v>
                </c:pt>
                <c:pt idx="2">
                  <c:v>1.7786542604245894E-3</c:v>
                </c:pt>
                <c:pt idx="3">
                  <c:v>5.0175292150473706E-2</c:v>
                </c:pt>
                <c:pt idx="4">
                  <c:v>9.0371655556233929E-2</c:v>
                </c:pt>
                <c:pt idx="5">
                  <c:v>5.3480847380708456E-2</c:v>
                </c:pt>
                <c:pt idx="6">
                  <c:v>4.4350838051958911E-3</c:v>
                </c:pt>
                <c:pt idx="7">
                  <c:v>1.2074660572537177E-2</c:v>
                </c:pt>
                <c:pt idx="8">
                  <c:v>7.1541980312744497E-3</c:v>
                </c:pt>
                <c:pt idx="9">
                  <c:v>1.4166332519536678E-3</c:v>
                </c:pt>
                <c:pt idx="10">
                  <c:v>4.0006855233185043E-3</c:v>
                </c:pt>
                <c:pt idx="11">
                  <c:v>8.1755582451161282E-3</c:v>
                </c:pt>
                <c:pt idx="12">
                  <c:v>0</c:v>
                </c:pt>
                <c:pt idx="13">
                  <c:v>0</c:v>
                </c:pt>
                <c:pt idx="14">
                  <c:v>0</c:v>
                </c:pt>
                <c:pt idx="15">
                  <c:v>0</c:v>
                </c:pt>
                <c:pt idx="16">
                  <c:v>0</c:v>
                </c:pt>
                <c:pt idx="17">
                  <c:v>0</c:v>
                </c:pt>
                <c:pt idx="18">
                  <c:v>0</c:v>
                </c:pt>
                <c:pt idx="19">
                  <c:v>0</c:v>
                </c:pt>
              </c:numCache>
            </c:numRef>
          </c:val>
        </c:ser>
        <c:ser>
          <c:idx val="4"/>
          <c:order val="4"/>
          <c:tx>
            <c:strRef>
              <c:f>Hoja4!$F$102</c:f>
              <c:strCache>
                <c:ptCount val="1"/>
                <c:pt idx="0">
                  <c:v>7</c:v>
                </c:pt>
              </c:strCache>
            </c:strRef>
          </c:tx>
          <c:spPr>
            <a:solidFill>
              <a:schemeClr val="accent5"/>
            </a:solidFill>
            <a:ln>
              <a:noFill/>
            </a:ln>
            <a:effectLst/>
          </c:spPr>
          <c:invertIfNegative val="0"/>
          <c:cat>
            <c:numRef>
              <c:f>Hoja4!$A$103:$A$122</c:f>
              <c:numCache>
                <c:formatCode>General</c:formatCode>
                <c:ptCount val="20"/>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numCache>
            </c:numRef>
          </c:cat>
          <c:val>
            <c:numRef>
              <c:f>Hoja4!$F$103:$F$122</c:f>
              <c:numCache>
                <c:formatCode>0.0%</c:formatCode>
                <c:ptCount val="20"/>
                <c:pt idx="0">
                  <c:v>2.1907198006618995E-3</c:v>
                </c:pt>
                <c:pt idx="1">
                  <c:v>1.4881559039209595E-3</c:v>
                </c:pt>
                <c:pt idx="2">
                  <c:v>2.667336468917831E-3</c:v>
                </c:pt>
                <c:pt idx="3">
                  <c:v>3.6936188139349863E-3</c:v>
                </c:pt>
                <c:pt idx="4">
                  <c:v>5.461454543090721E-3</c:v>
                </c:pt>
                <c:pt idx="5">
                  <c:v>3.2320224200602628E-3</c:v>
                </c:pt>
                <c:pt idx="6">
                  <c:v>5.9926987759778482E-3</c:v>
                </c:pt>
                <c:pt idx="7">
                  <c:v>1.142262890162017E-2</c:v>
                </c:pt>
                <c:pt idx="8">
                  <c:v>1.1221733441193671E-2</c:v>
                </c:pt>
                <c:pt idx="9">
                  <c:v>1.7566252324225482E-3</c:v>
                </c:pt>
                <c:pt idx="10">
                  <c:v>8.3096565956626376E-3</c:v>
                </c:pt>
                <c:pt idx="11">
                  <c:v>9.1361044741818404E-3</c:v>
                </c:pt>
                <c:pt idx="12">
                  <c:v>3.3250218263770072E-3</c:v>
                </c:pt>
                <c:pt idx="13">
                  <c:v>6.0289623621060079E-2</c:v>
                </c:pt>
                <c:pt idx="14">
                  <c:v>4.1899600945330762E-3</c:v>
                </c:pt>
                <c:pt idx="15">
                  <c:v>1.1451906875933626E-2</c:v>
                </c:pt>
                <c:pt idx="16">
                  <c:v>2.6846174967881518E-2</c:v>
                </c:pt>
                <c:pt idx="17">
                  <c:v>1.4975551669891405E-2</c:v>
                </c:pt>
                <c:pt idx="18">
                  <c:v>1.0392158149778454E-2</c:v>
                </c:pt>
                <c:pt idx="19">
                  <c:v>1.1358365350460697E-2</c:v>
                </c:pt>
              </c:numCache>
            </c:numRef>
          </c:val>
        </c:ser>
        <c:ser>
          <c:idx val="5"/>
          <c:order val="5"/>
          <c:tx>
            <c:strRef>
              <c:f>Hoja4!$G$102</c:f>
              <c:strCache>
                <c:ptCount val="1"/>
                <c:pt idx="0">
                  <c:v>8</c:v>
                </c:pt>
              </c:strCache>
            </c:strRef>
          </c:tx>
          <c:spPr>
            <a:solidFill>
              <a:schemeClr val="accent6"/>
            </a:solidFill>
            <a:ln>
              <a:noFill/>
            </a:ln>
            <a:effectLst/>
          </c:spPr>
          <c:invertIfNegative val="0"/>
          <c:dLbls>
            <c:dLbl>
              <c:idx val="17"/>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UY"/>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Hoja4!$A$103:$A$122</c:f>
              <c:numCache>
                <c:formatCode>General</c:formatCode>
                <c:ptCount val="20"/>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numCache>
            </c:numRef>
          </c:cat>
          <c:val>
            <c:numRef>
              <c:f>Hoja4!$G$103:$G$122</c:f>
              <c:numCache>
                <c:formatCode>0.0%</c:formatCode>
                <c:ptCount val="20"/>
                <c:pt idx="0">
                  <c:v>5.1121614660828575E-2</c:v>
                </c:pt>
                <c:pt idx="1">
                  <c:v>9.1099269605423704E-3</c:v>
                </c:pt>
                <c:pt idx="2">
                  <c:v>5.6973246216809513E-2</c:v>
                </c:pt>
                <c:pt idx="3">
                  <c:v>1.7612496431575423E-2</c:v>
                </c:pt>
                <c:pt idx="4">
                  <c:v>2.3631293696065619E-2</c:v>
                </c:pt>
                <c:pt idx="5">
                  <c:v>1.3984712394491523E-2</c:v>
                </c:pt>
                <c:pt idx="6">
                  <c:v>2.4660939452253731E-2</c:v>
                </c:pt>
                <c:pt idx="7">
                  <c:v>7.0992375177864275E-2</c:v>
                </c:pt>
                <c:pt idx="8">
                  <c:v>6.5641900163776953E-2</c:v>
                </c:pt>
                <c:pt idx="9">
                  <c:v>1.8587365767938915E-2</c:v>
                </c:pt>
                <c:pt idx="10">
                  <c:v>3.5083386770828125E-2</c:v>
                </c:pt>
                <c:pt idx="11">
                  <c:v>7.1694280969858443E-2</c:v>
                </c:pt>
                <c:pt idx="12">
                  <c:v>2.7972556873143279E-2</c:v>
                </c:pt>
                <c:pt idx="13">
                  <c:v>4.4792065812518211E-2</c:v>
                </c:pt>
                <c:pt idx="14">
                  <c:v>6.8199779570217195E-2</c:v>
                </c:pt>
                <c:pt idx="15">
                  <c:v>9.0969953398888317E-2</c:v>
                </c:pt>
                <c:pt idx="16">
                  <c:v>8.3157116057332184E-2</c:v>
                </c:pt>
                <c:pt idx="17">
                  <c:v>9.1744043370694514E-2</c:v>
                </c:pt>
                <c:pt idx="18">
                  <c:v>8.0226761923597179E-2</c:v>
                </c:pt>
                <c:pt idx="19">
                  <c:v>8.7685816524267601E-2</c:v>
                </c:pt>
              </c:numCache>
            </c:numRef>
          </c:val>
        </c:ser>
        <c:ser>
          <c:idx val="6"/>
          <c:order val="6"/>
          <c:tx>
            <c:strRef>
              <c:f>Hoja4!$H$102</c:f>
              <c:strCache>
                <c:ptCount val="1"/>
                <c:pt idx="0">
                  <c:v>10</c:v>
                </c:pt>
              </c:strCache>
            </c:strRef>
          </c:tx>
          <c:spPr>
            <a:solidFill>
              <a:schemeClr val="accent1">
                <a:lumMod val="60000"/>
              </a:schemeClr>
            </a:solidFill>
            <a:ln>
              <a:noFill/>
            </a:ln>
            <a:effectLst/>
          </c:spPr>
          <c:invertIfNegative val="0"/>
          <c:cat>
            <c:numRef>
              <c:f>Hoja4!$A$103:$A$122</c:f>
              <c:numCache>
                <c:formatCode>General</c:formatCode>
                <c:ptCount val="20"/>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numCache>
            </c:numRef>
          </c:cat>
          <c:val>
            <c:numRef>
              <c:f>Hoja4!$H$103:$H$122</c:f>
              <c:numCache>
                <c:formatCode>0.0%</c:formatCode>
                <c:ptCount val="20"/>
                <c:pt idx="0">
                  <c:v>2.2644781066089212E-3</c:v>
                </c:pt>
                <c:pt idx="1">
                  <c:v>1.9930724168833896E-3</c:v>
                </c:pt>
                <c:pt idx="2">
                  <c:v>2.3877790890024044E-3</c:v>
                </c:pt>
                <c:pt idx="3">
                  <c:v>2.7216138628994636E-3</c:v>
                </c:pt>
                <c:pt idx="4">
                  <c:v>4.6212307672306102E-3</c:v>
                </c:pt>
                <c:pt idx="5">
                  <c:v>2.7347882015894532E-3</c:v>
                </c:pt>
                <c:pt idx="6">
                  <c:v>4.0542775352148284E-3</c:v>
                </c:pt>
                <c:pt idx="7">
                  <c:v>0</c:v>
                </c:pt>
                <c:pt idx="8">
                  <c:v>0</c:v>
                </c:pt>
                <c:pt idx="9">
                  <c:v>0</c:v>
                </c:pt>
                <c:pt idx="10">
                  <c:v>0</c:v>
                </c:pt>
                <c:pt idx="11">
                  <c:v>0</c:v>
                </c:pt>
                <c:pt idx="12">
                  <c:v>0</c:v>
                </c:pt>
                <c:pt idx="13">
                  <c:v>0</c:v>
                </c:pt>
                <c:pt idx="14">
                  <c:v>0</c:v>
                </c:pt>
                <c:pt idx="15">
                  <c:v>0</c:v>
                </c:pt>
                <c:pt idx="16">
                  <c:v>0</c:v>
                </c:pt>
                <c:pt idx="17">
                  <c:v>0</c:v>
                </c:pt>
                <c:pt idx="18">
                  <c:v>0</c:v>
                </c:pt>
                <c:pt idx="19">
                  <c:v>0</c:v>
                </c:pt>
              </c:numCache>
            </c:numRef>
          </c:val>
        </c:ser>
        <c:ser>
          <c:idx val="7"/>
          <c:order val="7"/>
          <c:tx>
            <c:strRef>
              <c:f>Hoja4!$I$102</c:f>
              <c:strCache>
                <c:ptCount val="1"/>
                <c:pt idx="0">
                  <c:v>15</c:v>
                </c:pt>
              </c:strCache>
            </c:strRef>
          </c:tx>
          <c:spPr>
            <a:solidFill>
              <a:schemeClr val="accent2">
                <a:lumMod val="60000"/>
              </a:schemeClr>
            </a:solidFill>
            <a:ln>
              <a:noFill/>
            </a:ln>
            <a:effectLst/>
          </c:spPr>
          <c:invertIfNegative val="0"/>
          <c:dLbls>
            <c:dLbl>
              <c:idx val="11"/>
              <c:layout>
                <c:manualLayout>
                  <c:x val="2.865876958349255E-2"/>
                  <c:y val="7.5639599555061096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UY"/>
              </a:p>
            </c:txPr>
            <c:showLegendKey val="0"/>
            <c:showVal val="0"/>
            <c:showCatName val="0"/>
            <c:showSerName val="0"/>
            <c:showPercent val="0"/>
            <c:showBubbleSize val="0"/>
            <c:extLst>
              <c:ext xmlns:c15="http://schemas.microsoft.com/office/drawing/2012/chart" uri="{CE6537A1-D6FC-4f65-9D91-7224C49458BB}">
                <c15:showLeaderLines val="1"/>
                <c15:leaderLines>
                  <c:spPr>
                    <a:ln w="12700" cap="flat" cmpd="sng" algn="ctr">
                      <a:solidFill>
                        <a:schemeClr val="tx1"/>
                      </a:solidFill>
                      <a:round/>
                    </a:ln>
                    <a:effectLst/>
                  </c:spPr>
                </c15:leaderLines>
              </c:ext>
            </c:extLst>
          </c:dLbls>
          <c:cat>
            <c:numRef>
              <c:f>Hoja4!$A$103:$A$122</c:f>
              <c:numCache>
                <c:formatCode>General</c:formatCode>
                <c:ptCount val="20"/>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numCache>
            </c:numRef>
          </c:cat>
          <c:val>
            <c:numRef>
              <c:f>Hoja4!$I$103:$I$122</c:f>
              <c:numCache>
                <c:formatCode>0.0%</c:formatCode>
                <c:ptCount val="20"/>
                <c:pt idx="0">
                  <c:v>2.9684370542155634E-3</c:v>
                </c:pt>
                <c:pt idx="1">
                  <c:v>2.4891309173146617E-3</c:v>
                </c:pt>
                <c:pt idx="2">
                  <c:v>1.4376380817241217E-2</c:v>
                </c:pt>
                <c:pt idx="3">
                  <c:v>2.352251981505965E-2</c:v>
                </c:pt>
                <c:pt idx="4">
                  <c:v>3.5867052432028486E-2</c:v>
                </c:pt>
                <c:pt idx="5">
                  <c:v>1.5408083897948845E-2</c:v>
                </c:pt>
                <c:pt idx="6">
                  <c:v>3.4225058696690583E-2</c:v>
                </c:pt>
                <c:pt idx="7">
                  <c:v>4.7425559808130263E-2</c:v>
                </c:pt>
                <c:pt idx="8">
                  <c:v>0.1074030598621587</c:v>
                </c:pt>
                <c:pt idx="9">
                  <c:v>4.5262955674012902E-2</c:v>
                </c:pt>
                <c:pt idx="10">
                  <c:v>5.9537940145245251E-2</c:v>
                </c:pt>
                <c:pt idx="11">
                  <c:v>0.14118724401145305</c:v>
                </c:pt>
                <c:pt idx="12">
                  <c:v>5.9941489363180021E-2</c:v>
                </c:pt>
                <c:pt idx="13">
                  <c:v>4.9176576346296554E-2</c:v>
                </c:pt>
                <c:pt idx="14">
                  <c:v>5.2575389679346544E-2</c:v>
                </c:pt>
                <c:pt idx="15">
                  <c:v>7.2438195802826094E-2</c:v>
                </c:pt>
                <c:pt idx="16">
                  <c:v>7.4385142000255894E-2</c:v>
                </c:pt>
                <c:pt idx="17">
                  <c:v>8.4173183347293429E-2</c:v>
                </c:pt>
                <c:pt idx="18">
                  <c:v>7.3606325736801717E-2</c:v>
                </c:pt>
                <c:pt idx="19">
                  <c:v>8.0449847642227748E-2</c:v>
                </c:pt>
              </c:numCache>
            </c:numRef>
          </c:val>
        </c:ser>
        <c:ser>
          <c:idx val="8"/>
          <c:order val="8"/>
          <c:tx>
            <c:strRef>
              <c:f>Hoja4!$J$102</c:f>
              <c:strCache>
                <c:ptCount val="1"/>
                <c:pt idx="0">
                  <c:v>16</c:v>
                </c:pt>
              </c:strCache>
            </c:strRef>
          </c:tx>
          <c:spPr>
            <a:solidFill>
              <a:schemeClr val="accent3">
                <a:lumMod val="60000"/>
              </a:schemeClr>
            </a:solidFill>
            <a:ln>
              <a:noFill/>
            </a:ln>
            <a:effectLst/>
          </c:spPr>
          <c:invertIfNegative val="0"/>
          <c:dLbls>
            <c:dLbl>
              <c:idx val="2"/>
              <c:showLegendKey val="0"/>
              <c:showVal val="1"/>
              <c:showCatName val="0"/>
              <c:showSerName val="0"/>
              <c:showPercent val="0"/>
              <c:showBubbleSize val="0"/>
              <c:extLst>
                <c:ext xmlns:c15="http://schemas.microsoft.com/office/drawing/2012/chart" uri="{CE6537A1-D6FC-4f65-9D91-7224C49458BB}"/>
              </c:extLst>
            </c:dLbl>
            <c:dLbl>
              <c:idx val="9"/>
              <c:showLegendKey val="0"/>
              <c:showVal val="1"/>
              <c:showCatName val="0"/>
              <c:showSerName val="0"/>
              <c:showPercent val="0"/>
              <c:showBubbleSize val="0"/>
              <c:extLst>
                <c:ext xmlns:c15="http://schemas.microsoft.com/office/drawing/2012/chart" uri="{CE6537A1-D6FC-4f65-9D91-7224C49458BB}"/>
              </c:extLst>
            </c:dLbl>
            <c:dLbl>
              <c:idx val="19"/>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UY"/>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Hoja4!$A$103:$A$122</c:f>
              <c:numCache>
                <c:formatCode>General</c:formatCode>
                <c:ptCount val="20"/>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numCache>
            </c:numRef>
          </c:cat>
          <c:val>
            <c:numRef>
              <c:f>Hoja4!$J$103:$J$122</c:f>
              <c:numCache>
                <c:formatCode>0.0%</c:formatCode>
                <c:ptCount val="20"/>
                <c:pt idx="0">
                  <c:v>0.70795267633028203</c:v>
                </c:pt>
                <c:pt idx="1">
                  <c:v>0.79391162146306427</c:v>
                </c:pt>
                <c:pt idx="2">
                  <c:v>0.87544983414406219</c:v>
                </c:pt>
                <c:pt idx="3">
                  <c:v>0.84819507389757065</c:v>
                </c:pt>
                <c:pt idx="4">
                  <c:v>0.67937398910045876</c:v>
                </c:pt>
                <c:pt idx="5">
                  <c:v>0.7895956522311961</c:v>
                </c:pt>
                <c:pt idx="6">
                  <c:v>0.44183264645237275</c:v>
                </c:pt>
                <c:pt idx="7">
                  <c:v>0.24445582601950011</c:v>
                </c:pt>
                <c:pt idx="8">
                  <c:v>0.33618940167912253</c:v>
                </c:pt>
                <c:pt idx="9">
                  <c:v>0.8284593305828295</c:v>
                </c:pt>
                <c:pt idx="10">
                  <c:v>0.69325635287312815</c:v>
                </c:pt>
                <c:pt idx="11">
                  <c:v>0.19049588304142556</c:v>
                </c:pt>
                <c:pt idx="12">
                  <c:v>0.63722904596410423</c:v>
                </c:pt>
                <c:pt idx="13">
                  <c:v>0.48602727575585875</c:v>
                </c:pt>
                <c:pt idx="14">
                  <c:v>0.48730957800828389</c:v>
                </c:pt>
                <c:pt idx="15">
                  <c:v>0.37802407426249457</c:v>
                </c:pt>
                <c:pt idx="16">
                  <c:v>0.31583289272207493</c:v>
                </c:pt>
                <c:pt idx="17">
                  <c:v>0.25386943701430492</c:v>
                </c:pt>
                <c:pt idx="18">
                  <c:v>0.24509069824882326</c:v>
                </c:pt>
                <c:pt idx="19">
                  <c:v>0.2678779185793087</c:v>
                </c:pt>
              </c:numCache>
            </c:numRef>
          </c:val>
        </c:ser>
        <c:ser>
          <c:idx val="9"/>
          <c:order val="9"/>
          <c:tx>
            <c:strRef>
              <c:f>Hoja4!$K$102</c:f>
              <c:strCache>
                <c:ptCount val="1"/>
                <c:pt idx="0">
                  <c:v>24</c:v>
                </c:pt>
              </c:strCache>
            </c:strRef>
          </c:tx>
          <c:spPr>
            <a:solidFill>
              <a:schemeClr val="accent4">
                <a:lumMod val="60000"/>
              </a:schemeClr>
            </a:solidFill>
            <a:ln>
              <a:noFill/>
            </a:ln>
            <a:effectLst/>
          </c:spPr>
          <c:invertIfNegative val="0"/>
          <c:dLbls>
            <c:dLbl>
              <c:idx val="7"/>
              <c:layout>
                <c:manualLayout>
                  <c:x val="2.6748184944593044E-2"/>
                  <c:y val="0.14682981090100111"/>
                </c:manualLayout>
              </c:layout>
              <c:showLegendKey val="0"/>
              <c:showVal val="1"/>
              <c:showCatName val="0"/>
              <c:showSerName val="0"/>
              <c:showPercent val="0"/>
              <c:showBubbleSize val="0"/>
              <c:extLst>
                <c:ext xmlns:c15="http://schemas.microsoft.com/office/drawing/2012/chart" uri="{CE6537A1-D6FC-4f65-9D91-7224C49458BB}"/>
              </c:extLst>
            </c:dLbl>
            <c:dLbl>
              <c:idx val="17"/>
              <c:layout>
                <c:manualLayout>
                  <c:x val="2.4837600305693541E-2"/>
                  <c:y val="9.1118091228336959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UY"/>
              </a:p>
            </c:txPr>
            <c:showLegendKey val="0"/>
            <c:showVal val="0"/>
            <c:showCatName val="0"/>
            <c:showSerName val="0"/>
            <c:showPercent val="0"/>
            <c:showBubbleSize val="0"/>
            <c:extLst>
              <c:ext xmlns:c15="http://schemas.microsoft.com/office/drawing/2012/chart" uri="{CE6537A1-D6FC-4f65-9D91-7224C49458BB}">
                <c15:showLeaderLines val="1"/>
                <c15:leaderLines>
                  <c:spPr>
                    <a:ln w="12700" cap="flat" cmpd="sng" algn="ctr">
                      <a:solidFill>
                        <a:schemeClr val="tx1"/>
                      </a:solidFill>
                      <a:round/>
                    </a:ln>
                    <a:effectLst/>
                  </c:spPr>
                </c15:leaderLines>
              </c:ext>
            </c:extLst>
          </c:dLbls>
          <c:cat>
            <c:numRef>
              <c:f>Hoja4!$A$103:$A$122</c:f>
              <c:numCache>
                <c:formatCode>General</c:formatCode>
                <c:ptCount val="20"/>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numCache>
            </c:numRef>
          </c:cat>
          <c:val>
            <c:numRef>
              <c:f>Hoja4!$K$103:$K$122</c:f>
              <c:numCache>
                <c:formatCode>0.0%</c:formatCode>
                <c:ptCount val="20"/>
                <c:pt idx="0">
                  <c:v>0</c:v>
                </c:pt>
                <c:pt idx="1">
                  <c:v>0</c:v>
                </c:pt>
                <c:pt idx="2">
                  <c:v>0</c:v>
                </c:pt>
                <c:pt idx="3">
                  <c:v>0</c:v>
                </c:pt>
                <c:pt idx="4">
                  <c:v>5.8901204891488021E-2</c:v>
                </c:pt>
                <c:pt idx="5">
                  <c:v>6.5130382676912305E-2</c:v>
                </c:pt>
                <c:pt idx="6">
                  <c:v>0.38643533412257591</c:v>
                </c:pt>
                <c:pt idx="7">
                  <c:v>0.43285920608889394</c:v>
                </c:pt>
                <c:pt idx="8">
                  <c:v>0.24418930960054688</c:v>
                </c:pt>
                <c:pt idx="9">
                  <c:v>3.5712500291863743E-2</c:v>
                </c:pt>
                <c:pt idx="10">
                  <c:v>4.8605014317440139E-2</c:v>
                </c:pt>
                <c:pt idx="11">
                  <c:v>0.18945043096982225</c:v>
                </c:pt>
                <c:pt idx="12">
                  <c:v>7.0144296063295766E-2</c:v>
                </c:pt>
                <c:pt idx="13">
                  <c:v>8.2676776826743112E-2</c:v>
                </c:pt>
                <c:pt idx="14">
                  <c:v>8.9791418792980054E-2</c:v>
                </c:pt>
                <c:pt idx="15">
                  <c:v>0.10621128339275727</c:v>
                </c:pt>
                <c:pt idx="16">
                  <c:v>4.9989429250538002E-2</c:v>
                </c:pt>
                <c:pt idx="17">
                  <c:v>0.22032590630041296</c:v>
                </c:pt>
                <c:pt idx="18">
                  <c:v>0.21678410028659242</c:v>
                </c:pt>
                <c:pt idx="19">
                  <c:v>0.19816999179358341</c:v>
                </c:pt>
              </c:numCache>
            </c:numRef>
          </c:val>
        </c:ser>
        <c:dLbls>
          <c:showLegendKey val="0"/>
          <c:showVal val="0"/>
          <c:showCatName val="0"/>
          <c:showSerName val="0"/>
          <c:showPercent val="0"/>
          <c:showBubbleSize val="0"/>
        </c:dLbls>
        <c:gapWidth val="150"/>
        <c:overlap val="100"/>
        <c:axId val="1700624352"/>
        <c:axId val="1700624896"/>
      </c:barChart>
      <c:catAx>
        <c:axId val="17006243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UY"/>
          </a:p>
        </c:txPr>
        <c:crossAx val="1700624896"/>
        <c:crosses val="autoZero"/>
        <c:auto val="1"/>
        <c:lblAlgn val="ctr"/>
        <c:lblOffset val="100"/>
        <c:noMultiLvlLbl val="0"/>
      </c:catAx>
      <c:valAx>
        <c:axId val="1700624896"/>
        <c:scaling>
          <c:orientation val="minMax"/>
          <c:max val="1"/>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UY"/>
          </a:p>
        </c:txPr>
        <c:crossAx val="17006243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UY"/>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UY"/>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UY" sz="1800" b="0" i="0" baseline="0">
                <a:effectLst/>
              </a:rPr>
              <a:t>% Asignación Personal Unidad Ejecutora / Total Asignación Personal en Cultura</a:t>
            </a:r>
            <a:endParaRPr lang="es-UY">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UY"/>
        </a:p>
      </c:txPr>
    </c:title>
    <c:autoTitleDeleted val="0"/>
    <c:plotArea>
      <c:layout/>
      <c:barChart>
        <c:barDir val="col"/>
        <c:grouping val="stacked"/>
        <c:varyColors val="0"/>
        <c:ser>
          <c:idx val="0"/>
          <c:order val="0"/>
          <c:tx>
            <c:strRef>
              <c:f>Hoja4!$B$127</c:f>
              <c:strCache>
                <c:ptCount val="1"/>
                <c:pt idx="0">
                  <c:v>1</c:v>
                </c:pt>
              </c:strCache>
            </c:strRef>
          </c:tx>
          <c:spPr>
            <a:solidFill>
              <a:schemeClr val="accent1"/>
            </a:solidFill>
            <a:ln>
              <a:noFill/>
            </a:ln>
            <a:effectLst/>
          </c:spPr>
          <c:invertIfNegative val="0"/>
          <c:dLbls>
            <c:dLbl>
              <c:idx val="0"/>
              <c:showLegendKey val="0"/>
              <c:showVal val="1"/>
              <c:showCatName val="0"/>
              <c:showSerName val="0"/>
              <c:showPercent val="0"/>
              <c:showBubbleSize val="0"/>
              <c:extLst>
                <c:ext xmlns:c15="http://schemas.microsoft.com/office/drawing/2012/chart" uri="{CE6537A1-D6FC-4f65-9D91-7224C49458BB}"/>
              </c:extLst>
            </c:dLbl>
            <c:dLbl>
              <c:idx val="1"/>
              <c:showLegendKey val="0"/>
              <c:showVal val="1"/>
              <c:showCatName val="0"/>
              <c:showSerName val="0"/>
              <c:showPercent val="0"/>
              <c:showBubbleSize val="0"/>
              <c:extLst>
                <c:ext xmlns:c15="http://schemas.microsoft.com/office/drawing/2012/chart" uri="{CE6537A1-D6FC-4f65-9D91-7224C49458BB}"/>
              </c:extLst>
            </c:dLbl>
            <c:dLbl>
              <c:idx val="13"/>
              <c:showLegendKey val="0"/>
              <c:showVal val="1"/>
              <c:showCatName val="0"/>
              <c:showSerName val="0"/>
              <c:showPercent val="0"/>
              <c:showBubbleSize val="0"/>
              <c:extLst>
                <c:ext xmlns:c15="http://schemas.microsoft.com/office/drawing/2012/chart" uri="{CE6537A1-D6FC-4f65-9D91-7224C49458BB}"/>
              </c:extLst>
            </c:dLbl>
            <c:dLbl>
              <c:idx val="15"/>
              <c:showLegendKey val="0"/>
              <c:showVal val="1"/>
              <c:showCatName val="0"/>
              <c:showSerName val="0"/>
              <c:showPercent val="0"/>
              <c:showBubbleSize val="0"/>
              <c:extLst>
                <c:ext xmlns:c15="http://schemas.microsoft.com/office/drawing/2012/chart" uri="{CE6537A1-D6FC-4f65-9D91-7224C49458BB}"/>
              </c:extLst>
            </c:dLbl>
            <c:dLbl>
              <c:idx val="19"/>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UY"/>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Hoja4!$A$128:$A$147</c:f>
              <c:numCache>
                <c:formatCode>General</c:formatCode>
                <c:ptCount val="20"/>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numCache>
            </c:numRef>
          </c:cat>
          <c:val>
            <c:numRef>
              <c:f>Hoja4!$B$128:$B$147</c:f>
              <c:numCache>
                <c:formatCode>0.0%</c:formatCode>
                <c:ptCount val="20"/>
                <c:pt idx="0">
                  <c:v>0.38928275053967809</c:v>
                </c:pt>
                <c:pt idx="1">
                  <c:v>0.43050160137050025</c:v>
                </c:pt>
                <c:pt idx="2">
                  <c:v>0.39801872657072956</c:v>
                </c:pt>
                <c:pt idx="3">
                  <c:v>0.39861506055061835</c:v>
                </c:pt>
                <c:pt idx="4">
                  <c:v>0.34275163861090951</c:v>
                </c:pt>
                <c:pt idx="5">
                  <c:v>0.33803727364636826</c:v>
                </c:pt>
                <c:pt idx="6">
                  <c:v>0.33889292267174653</c:v>
                </c:pt>
                <c:pt idx="7">
                  <c:v>0.34897637919703639</c:v>
                </c:pt>
                <c:pt idx="8">
                  <c:v>0.36266516832792489</c:v>
                </c:pt>
                <c:pt idx="9">
                  <c:v>0.35772545235341913</c:v>
                </c:pt>
                <c:pt idx="10">
                  <c:v>0.37412210366657717</c:v>
                </c:pt>
                <c:pt idx="11">
                  <c:v>0.3820546218324376</c:v>
                </c:pt>
                <c:pt idx="12">
                  <c:v>0.39930792196793741</c:v>
                </c:pt>
                <c:pt idx="13">
                  <c:v>0.42512649154465076</c:v>
                </c:pt>
                <c:pt idx="14">
                  <c:v>0.42299521944786944</c:v>
                </c:pt>
                <c:pt idx="15">
                  <c:v>0.4246648251008408</c:v>
                </c:pt>
                <c:pt idx="16">
                  <c:v>0.42074921138180443</c:v>
                </c:pt>
                <c:pt idx="17">
                  <c:v>0.36478216768770111</c:v>
                </c:pt>
                <c:pt idx="18">
                  <c:v>0.348557311087208</c:v>
                </c:pt>
                <c:pt idx="19">
                  <c:v>0.3313954699763777</c:v>
                </c:pt>
              </c:numCache>
            </c:numRef>
          </c:val>
        </c:ser>
        <c:ser>
          <c:idx val="1"/>
          <c:order val="1"/>
          <c:tx>
            <c:strRef>
              <c:f>Hoja4!$C$127</c:f>
              <c:strCache>
                <c:ptCount val="1"/>
                <c:pt idx="0">
                  <c:v>3</c:v>
                </c:pt>
              </c:strCache>
            </c:strRef>
          </c:tx>
          <c:spPr>
            <a:solidFill>
              <a:schemeClr val="accent2"/>
            </a:solidFill>
            <a:ln>
              <a:noFill/>
            </a:ln>
            <a:effectLst/>
          </c:spPr>
          <c:invertIfNegative val="0"/>
          <c:dLbls>
            <c:dLbl>
              <c:idx val="19"/>
              <c:layout>
                <c:manualLayout>
                  <c:x val="1.910949742021785E-2"/>
                  <c:y val="5.0552922590837282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UY"/>
              </a:p>
            </c:txPr>
            <c:showLegendKey val="0"/>
            <c:showVal val="0"/>
            <c:showCatName val="0"/>
            <c:showSerName val="0"/>
            <c:showPercent val="0"/>
            <c:showBubbleSize val="0"/>
            <c:extLst>
              <c:ext xmlns:c15="http://schemas.microsoft.com/office/drawing/2012/chart" uri="{CE6537A1-D6FC-4f65-9D91-7224C49458BB}">
                <c15:showLeaderLines val="1"/>
                <c15:leaderLines>
                  <c:spPr>
                    <a:ln w="12700" cap="flat" cmpd="sng" algn="ctr">
                      <a:solidFill>
                        <a:schemeClr val="tx1"/>
                      </a:solidFill>
                      <a:round/>
                    </a:ln>
                    <a:effectLst/>
                  </c:spPr>
                </c15:leaderLines>
              </c:ext>
            </c:extLst>
          </c:dLbls>
          <c:cat>
            <c:numRef>
              <c:f>Hoja4!$A$128:$A$147</c:f>
              <c:numCache>
                <c:formatCode>General</c:formatCode>
                <c:ptCount val="20"/>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numCache>
            </c:numRef>
          </c:cat>
          <c:val>
            <c:numRef>
              <c:f>Hoja4!$C$128:$C$147</c:f>
              <c:numCache>
                <c:formatCode>0.0%</c:formatCode>
                <c:ptCount val="20"/>
                <c:pt idx="0">
                  <c:v>0</c:v>
                </c:pt>
                <c:pt idx="1">
                  <c:v>0</c:v>
                </c:pt>
                <c:pt idx="2">
                  <c:v>0</c:v>
                </c:pt>
                <c:pt idx="3">
                  <c:v>0</c:v>
                </c:pt>
                <c:pt idx="4">
                  <c:v>0</c:v>
                </c:pt>
                <c:pt idx="5">
                  <c:v>0</c:v>
                </c:pt>
                <c:pt idx="6">
                  <c:v>0</c:v>
                </c:pt>
                <c:pt idx="7">
                  <c:v>0</c:v>
                </c:pt>
                <c:pt idx="8">
                  <c:v>0</c:v>
                </c:pt>
                <c:pt idx="9">
                  <c:v>6.9394285890327502E-4</c:v>
                </c:pt>
                <c:pt idx="10">
                  <c:v>1.1998376650033417E-3</c:v>
                </c:pt>
                <c:pt idx="11">
                  <c:v>1.9128318481274654E-2</c:v>
                </c:pt>
                <c:pt idx="12">
                  <c:v>4.926567446766858E-2</c:v>
                </c:pt>
                <c:pt idx="13">
                  <c:v>4.9304971745236952E-2</c:v>
                </c:pt>
                <c:pt idx="14">
                  <c:v>4.8610003437122885E-2</c:v>
                </c:pt>
                <c:pt idx="15">
                  <c:v>5.1406630527867751E-2</c:v>
                </c:pt>
                <c:pt idx="16">
                  <c:v>5.0267299855275775E-2</c:v>
                </c:pt>
                <c:pt idx="17">
                  <c:v>6.0296881968468698E-2</c:v>
                </c:pt>
                <c:pt idx="18">
                  <c:v>6.9569338893294017E-2</c:v>
                </c:pt>
                <c:pt idx="19">
                  <c:v>8.1002145711306733E-2</c:v>
                </c:pt>
              </c:numCache>
            </c:numRef>
          </c:val>
        </c:ser>
        <c:ser>
          <c:idx val="2"/>
          <c:order val="2"/>
          <c:tx>
            <c:strRef>
              <c:f>Hoja4!$D$127</c:f>
              <c:strCache>
                <c:ptCount val="1"/>
                <c:pt idx="0">
                  <c:v>4</c:v>
                </c:pt>
              </c:strCache>
            </c:strRef>
          </c:tx>
          <c:spPr>
            <a:solidFill>
              <a:schemeClr val="accent3"/>
            </a:solidFill>
            <a:ln>
              <a:noFill/>
            </a:ln>
            <a:effectLst/>
          </c:spPr>
          <c:invertIfNegative val="0"/>
          <c:cat>
            <c:numRef>
              <c:f>Hoja4!$A$128:$A$147</c:f>
              <c:numCache>
                <c:formatCode>General</c:formatCode>
                <c:ptCount val="20"/>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numCache>
            </c:numRef>
          </c:cat>
          <c:val>
            <c:numRef>
              <c:f>Hoja4!$D$128:$D$147</c:f>
              <c:numCache>
                <c:formatCode>0.0%</c:formatCode>
                <c:ptCount val="20"/>
                <c:pt idx="0">
                  <c:v>2.0624328668401457E-2</c:v>
                </c:pt>
                <c:pt idx="1">
                  <c:v>2.1006362778196463E-2</c:v>
                </c:pt>
                <c:pt idx="2">
                  <c:v>2.339754072051025E-2</c:v>
                </c:pt>
                <c:pt idx="3">
                  <c:v>2.0839448902306767E-2</c:v>
                </c:pt>
                <c:pt idx="4">
                  <c:v>2.2863054502262663E-2</c:v>
                </c:pt>
                <c:pt idx="5">
                  <c:v>2.2436401525540824E-2</c:v>
                </c:pt>
                <c:pt idx="6">
                  <c:v>2.1697228655471971E-2</c:v>
                </c:pt>
                <c:pt idx="7">
                  <c:v>2.4823314181981179E-2</c:v>
                </c:pt>
                <c:pt idx="8">
                  <c:v>1.9917890119548608E-2</c:v>
                </c:pt>
                <c:pt idx="9">
                  <c:v>1.8305222754394126E-2</c:v>
                </c:pt>
                <c:pt idx="10">
                  <c:v>1.9842220550059096E-2</c:v>
                </c:pt>
                <c:pt idx="11">
                  <c:v>1.6426787558702305E-2</c:v>
                </c:pt>
                <c:pt idx="12">
                  <c:v>1.4858290657444387E-2</c:v>
                </c:pt>
                <c:pt idx="13">
                  <c:v>1.3872835679607998E-2</c:v>
                </c:pt>
                <c:pt idx="14">
                  <c:v>1.3511964620063535E-2</c:v>
                </c:pt>
                <c:pt idx="15">
                  <c:v>1.3105350565892532E-2</c:v>
                </c:pt>
                <c:pt idx="16">
                  <c:v>1.2207893324537818E-2</c:v>
                </c:pt>
                <c:pt idx="17">
                  <c:v>1.2743433817693182E-2</c:v>
                </c:pt>
                <c:pt idx="18">
                  <c:v>1.2708523940673618E-2</c:v>
                </c:pt>
                <c:pt idx="19">
                  <c:v>1.2859347297491844E-2</c:v>
                </c:pt>
              </c:numCache>
            </c:numRef>
          </c:val>
        </c:ser>
        <c:ser>
          <c:idx val="3"/>
          <c:order val="3"/>
          <c:tx>
            <c:strRef>
              <c:f>Hoja4!$E$127</c:f>
              <c:strCache>
                <c:ptCount val="1"/>
                <c:pt idx="0">
                  <c:v>6</c:v>
                </c:pt>
              </c:strCache>
            </c:strRef>
          </c:tx>
          <c:spPr>
            <a:solidFill>
              <a:schemeClr val="accent4"/>
            </a:solidFill>
            <a:ln>
              <a:noFill/>
            </a:ln>
            <a:effectLst/>
          </c:spPr>
          <c:invertIfNegative val="0"/>
          <c:cat>
            <c:numRef>
              <c:f>Hoja4!$A$128:$A$147</c:f>
              <c:numCache>
                <c:formatCode>General</c:formatCode>
                <c:ptCount val="20"/>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numCache>
            </c:numRef>
          </c:cat>
          <c:val>
            <c:numRef>
              <c:f>Hoja4!$E$128:$E$147</c:f>
              <c:numCache>
                <c:formatCode>0.0%</c:formatCode>
                <c:ptCount val="20"/>
                <c:pt idx="0">
                  <c:v>1.3201292297273208E-2</c:v>
                </c:pt>
                <c:pt idx="1">
                  <c:v>1.2935103569953078E-2</c:v>
                </c:pt>
                <c:pt idx="2">
                  <c:v>1.214105344662296E-2</c:v>
                </c:pt>
                <c:pt idx="3">
                  <c:v>1.3282952843922514E-2</c:v>
                </c:pt>
                <c:pt idx="4">
                  <c:v>1.4361198225124827E-2</c:v>
                </c:pt>
                <c:pt idx="5">
                  <c:v>1.4571469435522672E-2</c:v>
                </c:pt>
                <c:pt idx="6">
                  <c:v>1.4231127883153455E-2</c:v>
                </c:pt>
                <c:pt idx="7">
                  <c:v>1.3304369169754072E-2</c:v>
                </c:pt>
                <c:pt idx="8">
                  <c:v>1.1344740964936421E-2</c:v>
                </c:pt>
                <c:pt idx="9">
                  <c:v>1.1491354536918835E-2</c:v>
                </c:pt>
                <c:pt idx="10">
                  <c:v>1.0580390625371897E-2</c:v>
                </c:pt>
                <c:pt idx="11">
                  <c:v>1.0664715328794394E-2</c:v>
                </c:pt>
                <c:pt idx="12">
                  <c:v>0</c:v>
                </c:pt>
                <c:pt idx="13">
                  <c:v>0</c:v>
                </c:pt>
                <c:pt idx="14">
                  <c:v>0</c:v>
                </c:pt>
                <c:pt idx="15">
                  <c:v>0</c:v>
                </c:pt>
                <c:pt idx="16">
                  <c:v>0</c:v>
                </c:pt>
                <c:pt idx="17">
                  <c:v>0</c:v>
                </c:pt>
                <c:pt idx="18">
                  <c:v>0</c:v>
                </c:pt>
                <c:pt idx="19">
                  <c:v>0</c:v>
                </c:pt>
              </c:numCache>
            </c:numRef>
          </c:val>
        </c:ser>
        <c:ser>
          <c:idx val="4"/>
          <c:order val="4"/>
          <c:tx>
            <c:strRef>
              <c:f>Hoja4!$F$127</c:f>
              <c:strCache>
                <c:ptCount val="1"/>
                <c:pt idx="0">
                  <c:v>7</c:v>
                </c:pt>
              </c:strCache>
            </c:strRef>
          </c:tx>
          <c:spPr>
            <a:solidFill>
              <a:schemeClr val="accent5"/>
            </a:solidFill>
            <a:ln>
              <a:noFill/>
            </a:ln>
            <a:effectLst/>
          </c:spPr>
          <c:invertIfNegative val="0"/>
          <c:dLbls>
            <c:dLbl>
              <c:idx val="4"/>
              <c:showLegendKey val="0"/>
              <c:showVal val="1"/>
              <c:showCatName val="0"/>
              <c:showSerName val="0"/>
              <c:showPercent val="0"/>
              <c:showBubbleSize val="0"/>
              <c:extLst>
                <c:ext xmlns:c15="http://schemas.microsoft.com/office/drawing/2012/chart" uri="{CE6537A1-D6FC-4f65-9D91-7224C49458BB}"/>
              </c:extLst>
            </c:dLbl>
            <c:dLbl>
              <c:idx val="7"/>
              <c:showLegendKey val="0"/>
              <c:showVal val="1"/>
              <c:showCatName val="0"/>
              <c:showSerName val="0"/>
              <c:showPercent val="0"/>
              <c:showBubbleSize val="0"/>
              <c:extLst>
                <c:ext xmlns:c15="http://schemas.microsoft.com/office/drawing/2012/chart" uri="{CE6537A1-D6FC-4f65-9D91-7224C49458BB}"/>
              </c:extLst>
            </c:dLbl>
            <c:dLbl>
              <c:idx val="14"/>
              <c:showLegendKey val="0"/>
              <c:showVal val="1"/>
              <c:showCatName val="0"/>
              <c:showSerName val="0"/>
              <c:showPercent val="0"/>
              <c:showBubbleSize val="0"/>
              <c:extLst>
                <c:ext xmlns:c15="http://schemas.microsoft.com/office/drawing/2012/chart" uri="{CE6537A1-D6FC-4f65-9D91-7224C49458BB}"/>
              </c:extLst>
            </c:dLbl>
            <c:dLbl>
              <c:idx val="19"/>
              <c:layout>
                <c:manualLayout>
                  <c:x val="1.910949742021785E-2"/>
                  <c:y val="3.1595576619272143E-3"/>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UY"/>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Hoja4!$A$128:$A$147</c:f>
              <c:numCache>
                <c:formatCode>General</c:formatCode>
                <c:ptCount val="20"/>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numCache>
            </c:numRef>
          </c:cat>
          <c:val>
            <c:numRef>
              <c:f>Hoja4!$F$128:$F$147</c:f>
              <c:numCache>
                <c:formatCode>0.0%</c:formatCode>
                <c:ptCount val="20"/>
                <c:pt idx="0">
                  <c:v>6.0515288716508353E-2</c:v>
                </c:pt>
                <c:pt idx="1">
                  <c:v>5.4567847289539874E-2</c:v>
                </c:pt>
                <c:pt idx="2">
                  <c:v>6.863157884353098E-2</c:v>
                </c:pt>
                <c:pt idx="3">
                  <c:v>8.0575561351157385E-2</c:v>
                </c:pt>
                <c:pt idx="4">
                  <c:v>9.4885758496936298E-2</c:v>
                </c:pt>
                <c:pt idx="5">
                  <c:v>9.4104196900944209E-2</c:v>
                </c:pt>
                <c:pt idx="6">
                  <c:v>9.7419443501193845E-2</c:v>
                </c:pt>
                <c:pt idx="7">
                  <c:v>9.999651880431365E-2</c:v>
                </c:pt>
                <c:pt idx="8">
                  <c:v>9.1642297597018613E-2</c:v>
                </c:pt>
                <c:pt idx="9">
                  <c:v>7.8431375669818837E-2</c:v>
                </c:pt>
                <c:pt idx="10">
                  <c:v>7.5125350095424273E-2</c:v>
                </c:pt>
                <c:pt idx="11">
                  <c:v>7.4730523674830268E-2</c:v>
                </c:pt>
                <c:pt idx="12">
                  <c:v>5.8551613443104999E-2</c:v>
                </c:pt>
                <c:pt idx="13">
                  <c:v>5.1647411991585457E-2</c:v>
                </c:pt>
                <c:pt idx="14">
                  <c:v>5.0443514462523445E-2</c:v>
                </c:pt>
                <c:pt idx="15">
                  <c:v>4.7523475984720703E-2</c:v>
                </c:pt>
                <c:pt idx="16">
                  <c:v>4.6392085038622161E-2</c:v>
                </c:pt>
                <c:pt idx="17">
                  <c:v>4.9731924233115218E-2</c:v>
                </c:pt>
                <c:pt idx="18">
                  <c:v>4.8776538154019014E-2</c:v>
                </c:pt>
                <c:pt idx="19">
                  <c:v>5.0570554354722304E-2</c:v>
                </c:pt>
              </c:numCache>
            </c:numRef>
          </c:val>
        </c:ser>
        <c:ser>
          <c:idx val="5"/>
          <c:order val="5"/>
          <c:tx>
            <c:strRef>
              <c:f>Hoja4!$G$127</c:f>
              <c:strCache>
                <c:ptCount val="1"/>
                <c:pt idx="0">
                  <c:v>8</c:v>
                </c:pt>
              </c:strCache>
            </c:strRef>
          </c:tx>
          <c:spPr>
            <a:solidFill>
              <a:schemeClr val="accent6"/>
            </a:solidFill>
            <a:ln>
              <a:noFill/>
            </a:ln>
            <a:effectLst/>
          </c:spPr>
          <c:invertIfNegative val="0"/>
          <c:cat>
            <c:numRef>
              <c:f>Hoja4!$A$128:$A$147</c:f>
              <c:numCache>
                <c:formatCode>General</c:formatCode>
                <c:ptCount val="20"/>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numCache>
            </c:numRef>
          </c:cat>
          <c:val>
            <c:numRef>
              <c:f>Hoja4!$G$128:$G$147</c:f>
              <c:numCache>
                <c:formatCode>0.0%</c:formatCode>
                <c:ptCount val="20"/>
                <c:pt idx="0">
                  <c:v>2.1706999115999732E-2</c:v>
                </c:pt>
                <c:pt idx="1">
                  <c:v>1.6193269364625396E-3</c:v>
                </c:pt>
                <c:pt idx="2">
                  <c:v>4.5909475695781327E-2</c:v>
                </c:pt>
                <c:pt idx="3">
                  <c:v>1.5295865848960371E-2</c:v>
                </c:pt>
                <c:pt idx="4">
                  <c:v>2.0320689252700096E-2</c:v>
                </c:pt>
                <c:pt idx="5">
                  <c:v>2.0317228389462941E-2</c:v>
                </c:pt>
                <c:pt idx="6">
                  <c:v>2.0759589958392433E-2</c:v>
                </c:pt>
                <c:pt idx="7">
                  <c:v>1.9186597735914732E-2</c:v>
                </c:pt>
                <c:pt idx="8">
                  <c:v>1.7569556861274382E-2</c:v>
                </c:pt>
                <c:pt idx="9">
                  <c:v>1.6598503094595672E-2</c:v>
                </c:pt>
                <c:pt idx="10">
                  <c:v>1.6694772445804092E-2</c:v>
                </c:pt>
                <c:pt idx="11">
                  <c:v>1.7274586265623504E-2</c:v>
                </c:pt>
                <c:pt idx="12">
                  <c:v>1.770195978167162E-2</c:v>
                </c:pt>
                <c:pt idx="13">
                  <c:v>1.6852513826233047E-2</c:v>
                </c:pt>
                <c:pt idx="14">
                  <c:v>1.6718987094069035E-2</c:v>
                </c:pt>
                <c:pt idx="15">
                  <c:v>1.6741746720668391E-2</c:v>
                </c:pt>
                <c:pt idx="16">
                  <c:v>1.6513380271601655E-2</c:v>
                </c:pt>
                <c:pt idx="17">
                  <c:v>1.7212662760946344E-2</c:v>
                </c:pt>
                <c:pt idx="18">
                  <c:v>1.7250901133504332E-2</c:v>
                </c:pt>
                <c:pt idx="19">
                  <c:v>1.7869759711584231E-2</c:v>
                </c:pt>
              </c:numCache>
            </c:numRef>
          </c:val>
        </c:ser>
        <c:ser>
          <c:idx val="6"/>
          <c:order val="6"/>
          <c:tx>
            <c:strRef>
              <c:f>Hoja4!$H$127</c:f>
              <c:strCache>
                <c:ptCount val="1"/>
                <c:pt idx="0">
                  <c:v>10</c:v>
                </c:pt>
              </c:strCache>
            </c:strRef>
          </c:tx>
          <c:spPr>
            <a:solidFill>
              <a:schemeClr val="accent1">
                <a:lumMod val="60000"/>
              </a:schemeClr>
            </a:solidFill>
            <a:ln>
              <a:noFill/>
            </a:ln>
            <a:effectLst/>
          </c:spPr>
          <c:invertIfNegative val="0"/>
          <c:cat>
            <c:numRef>
              <c:f>Hoja4!$A$128:$A$147</c:f>
              <c:numCache>
                <c:formatCode>General</c:formatCode>
                <c:ptCount val="20"/>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numCache>
            </c:numRef>
          </c:cat>
          <c:val>
            <c:numRef>
              <c:f>Hoja4!$H$128:$H$147</c:f>
              <c:numCache>
                <c:formatCode>0.0%</c:formatCode>
                <c:ptCount val="20"/>
                <c:pt idx="0">
                  <c:v>1.2472905619565855E-2</c:v>
                </c:pt>
                <c:pt idx="1">
                  <c:v>1.2022210914511616E-2</c:v>
                </c:pt>
                <c:pt idx="2">
                  <c:v>1.96269201928536E-2</c:v>
                </c:pt>
                <c:pt idx="3">
                  <c:v>2.0540217180836602E-2</c:v>
                </c:pt>
                <c:pt idx="4">
                  <c:v>2.2892046298285802E-2</c:v>
                </c:pt>
                <c:pt idx="5">
                  <c:v>2.2439835611167604E-2</c:v>
                </c:pt>
                <c:pt idx="6">
                  <c:v>2.2709116386788512E-2</c:v>
                </c:pt>
                <c:pt idx="7">
                  <c:v>2.3586998137563306E-2</c:v>
                </c:pt>
                <c:pt idx="8">
                  <c:v>2.0204709770218904E-2</c:v>
                </c:pt>
                <c:pt idx="9">
                  <c:v>1.8635782186107293E-2</c:v>
                </c:pt>
                <c:pt idx="10">
                  <c:v>2.0016664418038069E-2</c:v>
                </c:pt>
                <c:pt idx="11">
                  <c:v>8.5635553916360678E-3</c:v>
                </c:pt>
                <c:pt idx="12">
                  <c:v>0</c:v>
                </c:pt>
                <c:pt idx="13">
                  <c:v>0</c:v>
                </c:pt>
                <c:pt idx="14">
                  <c:v>0</c:v>
                </c:pt>
                <c:pt idx="15">
                  <c:v>0</c:v>
                </c:pt>
                <c:pt idx="16">
                  <c:v>0</c:v>
                </c:pt>
                <c:pt idx="17">
                  <c:v>0</c:v>
                </c:pt>
                <c:pt idx="18">
                  <c:v>0</c:v>
                </c:pt>
                <c:pt idx="19">
                  <c:v>0</c:v>
                </c:pt>
              </c:numCache>
            </c:numRef>
          </c:val>
        </c:ser>
        <c:ser>
          <c:idx val="7"/>
          <c:order val="7"/>
          <c:tx>
            <c:strRef>
              <c:f>Hoja4!$I$127</c:f>
              <c:strCache>
                <c:ptCount val="1"/>
                <c:pt idx="0">
                  <c:v>15</c:v>
                </c:pt>
              </c:strCache>
            </c:strRef>
          </c:tx>
          <c:spPr>
            <a:solidFill>
              <a:schemeClr val="accent2">
                <a:lumMod val="60000"/>
              </a:schemeClr>
            </a:solidFill>
            <a:ln>
              <a:noFill/>
            </a:ln>
            <a:effectLst/>
          </c:spPr>
          <c:invertIfNegative val="0"/>
          <c:dLbls>
            <c:dLbl>
              <c:idx val="5"/>
              <c:layout>
                <c:manualLayout>
                  <c:x val="1.7198547678196063E-2"/>
                  <c:y val="-5.6872037914692003E-2"/>
                </c:manualLayout>
              </c:layout>
              <c:showLegendKey val="0"/>
              <c:showVal val="1"/>
              <c:showCatName val="0"/>
              <c:showSerName val="0"/>
              <c:showPercent val="0"/>
              <c:showBubbleSize val="0"/>
              <c:extLst>
                <c:ext xmlns:c15="http://schemas.microsoft.com/office/drawing/2012/chart" uri="{CE6537A1-D6FC-4f65-9D91-7224C49458BB}"/>
              </c:extLst>
            </c:dLbl>
            <c:dLbl>
              <c:idx val="19"/>
              <c:layout>
                <c:manualLayout>
                  <c:x val="1.910949742021785E-2"/>
                  <c:y val="-4.4233807266982623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UY"/>
              </a:p>
            </c:txPr>
            <c:showLegendKey val="0"/>
            <c:showVal val="0"/>
            <c:showCatName val="0"/>
            <c:showSerName val="0"/>
            <c:showPercent val="0"/>
            <c:showBubbleSize val="0"/>
            <c:extLst>
              <c:ext xmlns:c15="http://schemas.microsoft.com/office/drawing/2012/chart" uri="{CE6537A1-D6FC-4f65-9D91-7224C49458BB}">
                <c15:showLeaderLines val="1"/>
                <c15:leaderLines>
                  <c:spPr>
                    <a:ln w="12700" cap="flat" cmpd="sng" algn="ctr">
                      <a:solidFill>
                        <a:schemeClr val="tx1"/>
                      </a:solidFill>
                      <a:round/>
                    </a:ln>
                    <a:effectLst/>
                  </c:spPr>
                </c15:leaderLines>
              </c:ext>
            </c:extLst>
          </c:dLbls>
          <c:cat>
            <c:numRef>
              <c:f>Hoja4!$A$128:$A$147</c:f>
              <c:numCache>
                <c:formatCode>General</c:formatCode>
                <c:ptCount val="20"/>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numCache>
            </c:numRef>
          </c:cat>
          <c:val>
            <c:numRef>
              <c:f>Hoja4!$I$128:$I$147</c:f>
              <c:numCache>
                <c:formatCode>0.0%</c:formatCode>
                <c:ptCount val="20"/>
                <c:pt idx="0">
                  <c:v>4.5051004080501479E-2</c:v>
                </c:pt>
                <c:pt idx="1">
                  <c:v>4.3812244960875324E-2</c:v>
                </c:pt>
                <c:pt idx="2">
                  <c:v>4.4199549660226732E-2</c:v>
                </c:pt>
                <c:pt idx="3">
                  <c:v>7.1829922988478942E-2</c:v>
                </c:pt>
                <c:pt idx="4">
                  <c:v>7.7887725787015E-2</c:v>
                </c:pt>
                <c:pt idx="5">
                  <c:v>8.8251524886767005E-2</c:v>
                </c:pt>
                <c:pt idx="6">
                  <c:v>8.6490885936108916E-2</c:v>
                </c:pt>
                <c:pt idx="7">
                  <c:v>8.1423677389328875E-2</c:v>
                </c:pt>
                <c:pt idx="8">
                  <c:v>8.0730774354579815E-2</c:v>
                </c:pt>
                <c:pt idx="9">
                  <c:v>7.1493464930970169E-2</c:v>
                </c:pt>
                <c:pt idx="10">
                  <c:v>7.12834753354913E-2</c:v>
                </c:pt>
                <c:pt idx="11">
                  <c:v>6.6325955465253716E-2</c:v>
                </c:pt>
                <c:pt idx="12">
                  <c:v>6.2931076758443935E-2</c:v>
                </c:pt>
                <c:pt idx="13">
                  <c:v>5.4362834287836254E-2</c:v>
                </c:pt>
                <c:pt idx="14">
                  <c:v>5.4689732395396345E-2</c:v>
                </c:pt>
                <c:pt idx="15">
                  <c:v>5.2930751447139629E-2</c:v>
                </c:pt>
                <c:pt idx="16">
                  <c:v>5.298548369573667E-2</c:v>
                </c:pt>
                <c:pt idx="17">
                  <c:v>5.8042336300067846E-2</c:v>
                </c:pt>
                <c:pt idx="18">
                  <c:v>5.4915880928346351E-2</c:v>
                </c:pt>
                <c:pt idx="19">
                  <c:v>5.6528508840767426E-2</c:v>
                </c:pt>
              </c:numCache>
            </c:numRef>
          </c:val>
        </c:ser>
        <c:ser>
          <c:idx val="8"/>
          <c:order val="8"/>
          <c:tx>
            <c:strRef>
              <c:f>Hoja4!$J$127</c:f>
              <c:strCache>
                <c:ptCount val="1"/>
                <c:pt idx="0">
                  <c:v>16</c:v>
                </c:pt>
              </c:strCache>
            </c:strRef>
          </c:tx>
          <c:spPr>
            <a:solidFill>
              <a:schemeClr val="accent3">
                <a:lumMod val="60000"/>
              </a:schemeClr>
            </a:solidFill>
            <a:ln>
              <a:noFill/>
            </a:ln>
            <a:effectLst/>
          </c:spPr>
          <c:invertIfNegative val="0"/>
          <c:dLbls>
            <c:dLbl>
              <c:idx val="0"/>
              <c:showLegendKey val="0"/>
              <c:showVal val="1"/>
              <c:showCatName val="0"/>
              <c:showSerName val="0"/>
              <c:showPercent val="0"/>
              <c:showBubbleSize val="0"/>
              <c:extLst>
                <c:ext xmlns:c15="http://schemas.microsoft.com/office/drawing/2012/chart" uri="{CE6537A1-D6FC-4f65-9D91-7224C49458BB}"/>
              </c:extLst>
            </c:dLbl>
            <c:dLbl>
              <c:idx val="19"/>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UY"/>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Hoja4!$A$128:$A$147</c:f>
              <c:numCache>
                <c:formatCode>General</c:formatCode>
                <c:ptCount val="20"/>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numCache>
            </c:numRef>
          </c:cat>
          <c:val>
            <c:numRef>
              <c:f>Hoja4!$J$128:$J$147</c:f>
              <c:numCache>
                <c:formatCode>0.0%</c:formatCode>
                <c:ptCount val="20"/>
                <c:pt idx="0">
                  <c:v>0.43714543096207187</c:v>
                </c:pt>
                <c:pt idx="1">
                  <c:v>0.42353530217996088</c:v>
                </c:pt>
                <c:pt idx="2">
                  <c:v>0.38807515486974459</c:v>
                </c:pt>
                <c:pt idx="3">
                  <c:v>0.37902097033371906</c:v>
                </c:pt>
                <c:pt idx="4">
                  <c:v>0.40233074287551002</c:v>
                </c:pt>
                <c:pt idx="5">
                  <c:v>0.39805521142516831</c:v>
                </c:pt>
                <c:pt idx="6">
                  <c:v>0.39561767312333734</c:v>
                </c:pt>
                <c:pt idx="7">
                  <c:v>0.38451921929951388</c:v>
                </c:pt>
                <c:pt idx="8">
                  <c:v>0.36526538116785562</c:v>
                </c:pt>
                <c:pt idx="9">
                  <c:v>0.34097475857457343</c:v>
                </c:pt>
                <c:pt idx="10">
                  <c:v>0.32746847958794573</c:v>
                </c:pt>
                <c:pt idx="11">
                  <c:v>0.32316958065057622</c:v>
                </c:pt>
                <c:pt idx="12">
                  <c:v>0.29351956469771184</c:v>
                </c:pt>
                <c:pt idx="13">
                  <c:v>0.27724834647323549</c:v>
                </c:pt>
                <c:pt idx="14">
                  <c:v>0.277511609464273</c:v>
                </c:pt>
                <c:pt idx="15">
                  <c:v>0.27602773369627365</c:v>
                </c:pt>
                <c:pt idx="16">
                  <c:v>0.27351504613920963</c:v>
                </c:pt>
                <c:pt idx="17">
                  <c:v>0.26932927140107682</c:v>
                </c:pt>
                <c:pt idx="18">
                  <c:v>0.24707977832218175</c:v>
                </c:pt>
                <c:pt idx="19">
                  <c:v>0.24193953337298688</c:v>
                </c:pt>
              </c:numCache>
            </c:numRef>
          </c:val>
        </c:ser>
        <c:ser>
          <c:idx val="9"/>
          <c:order val="9"/>
          <c:tx>
            <c:strRef>
              <c:f>Hoja4!$K$127</c:f>
              <c:strCache>
                <c:ptCount val="1"/>
                <c:pt idx="0">
                  <c:v>24</c:v>
                </c:pt>
              </c:strCache>
            </c:strRef>
          </c:tx>
          <c:spPr>
            <a:solidFill>
              <a:schemeClr val="accent4">
                <a:lumMod val="60000"/>
              </a:schemeClr>
            </a:solidFill>
            <a:ln>
              <a:noFill/>
            </a:ln>
            <a:effectLst/>
          </c:spPr>
          <c:invertIfNegative val="0"/>
          <c:dLbls>
            <c:dLbl>
              <c:idx val="4"/>
              <c:layout>
                <c:manualLayout>
                  <c:x val="2.4842346646283132E-2"/>
                  <c:y val="6.3191153238546627E-2"/>
                </c:manualLayout>
              </c:layout>
              <c:showLegendKey val="0"/>
              <c:showVal val="1"/>
              <c:showCatName val="0"/>
              <c:showSerName val="0"/>
              <c:showPercent val="0"/>
              <c:showBubbleSize val="0"/>
              <c:extLst>
                <c:ext xmlns:c15="http://schemas.microsoft.com/office/drawing/2012/chart" uri="{CE6537A1-D6FC-4f65-9D91-7224C49458BB}"/>
              </c:extLst>
            </c:dLbl>
            <c:dLbl>
              <c:idx val="19"/>
              <c:layout>
                <c:manualLayout>
                  <c:x val="1.5287597936174279E-2"/>
                  <c:y val="9.7946287519747238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UY"/>
              </a:p>
            </c:txPr>
            <c:showLegendKey val="0"/>
            <c:showVal val="0"/>
            <c:showCatName val="0"/>
            <c:showSerName val="0"/>
            <c:showPercent val="0"/>
            <c:showBubbleSize val="0"/>
            <c:extLst>
              <c:ext xmlns:c15="http://schemas.microsoft.com/office/drawing/2012/chart" uri="{CE6537A1-D6FC-4f65-9D91-7224C49458BB}">
                <c15:showLeaderLines val="1"/>
                <c15:leaderLines>
                  <c:spPr>
                    <a:ln w="12700" cap="flat" cmpd="sng" algn="ctr">
                      <a:solidFill>
                        <a:schemeClr val="tx1"/>
                      </a:solidFill>
                      <a:round/>
                    </a:ln>
                    <a:effectLst/>
                  </c:spPr>
                </c15:leaderLines>
              </c:ext>
            </c:extLst>
          </c:dLbls>
          <c:cat>
            <c:numRef>
              <c:f>Hoja4!$A$128:$A$147</c:f>
              <c:numCache>
                <c:formatCode>General</c:formatCode>
                <c:ptCount val="20"/>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numCache>
            </c:numRef>
          </c:cat>
          <c:val>
            <c:numRef>
              <c:f>Hoja4!$K$128:$K$147</c:f>
              <c:numCache>
                <c:formatCode>0.0%</c:formatCode>
                <c:ptCount val="20"/>
                <c:pt idx="0">
                  <c:v>0</c:v>
                </c:pt>
                <c:pt idx="1">
                  <c:v>0</c:v>
                </c:pt>
                <c:pt idx="2">
                  <c:v>0</c:v>
                </c:pt>
                <c:pt idx="3">
                  <c:v>0</c:v>
                </c:pt>
                <c:pt idx="4">
                  <c:v>1.7071459512557772E-3</c:v>
                </c:pt>
                <c:pt idx="5">
                  <c:v>1.7868581790581714E-3</c:v>
                </c:pt>
                <c:pt idx="6">
                  <c:v>2.1820118838069562E-3</c:v>
                </c:pt>
                <c:pt idx="7">
                  <c:v>4.1829260845938823E-3</c:v>
                </c:pt>
                <c:pt idx="8">
                  <c:v>3.0659480836642741E-2</c:v>
                </c:pt>
                <c:pt idx="9">
                  <c:v>8.5650143040299179E-2</c:v>
                </c:pt>
                <c:pt idx="10">
                  <c:v>8.3666705610285039E-2</c:v>
                </c:pt>
                <c:pt idx="11">
                  <c:v>8.1661355350871281E-2</c:v>
                </c:pt>
                <c:pt idx="12">
                  <c:v>0.10386389822601728</c:v>
                </c:pt>
                <c:pt idx="13">
                  <c:v>0.11158459445161403</c:v>
                </c:pt>
                <c:pt idx="14">
                  <c:v>0.11551896907868234</c:v>
                </c:pt>
                <c:pt idx="15">
                  <c:v>0.1175994859565965</c:v>
                </c:pt>
                <c:pt idx="16">
                  <c:v>0.12736960029321187</c:v>
                </c:pt>
                <c:pt idx="17">
                  <c:v>0.1678613218309308</c:v>
                </c:pt>
                <c:pt idx="18">
                  <c:v>0.20114172754077295</c:v>
                </c:pt>
                <c:pt idx="19">
                  <c:v>0.20783468073476286</c:v>
                </c:pt>
              </c:numCache>
            </c:numRef>
          </c:val>
        </c:ser>
        <c:dLbls>
          <c:showLegendKey val="0"/>
          <c:showVal val="0"/>
          <c:showCatName val="0"/>
          <c:showSerName val="0"/>
          <c:showPercent val="0"/>
          <c:showBubbleSize val="0"/>
        </c:dLbls>
        <c:gapWidth val="150"/>
        <c:overlap val="100"/>
        <c:axId val="1440708032"/>
        <c:axId val="1440703136"/>
      </c:barChart>
      <c:catAx>
        <c:axId val="14407080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UY"/>
          </a:p>
        </c:txPr>
        <c:crossAx val="1440703136"/>
        <c:crosses val="autoZero"/>
        <c:auto val="1"/>
        <c:lblAlgn val="ctr"/>
        <c:lblOffset val="100"/>
        <c:noMultiLvlLbl val="0"/>
      </c:catAx>
      <c:valAx>
        <c:axId val="1440703136"/>
        <c:scaling>
          <c:orientation val="minMax"/>
          <c:max val="1"/>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UY"/>
          </a:p>
        </c:txPr>
        <c:crossAx val="14407080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UY"/>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UY"/>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UY"/>
              <a:t>%Ejecución Unidad</a:t>
            </a:r>
            <a:r>
              <a:rPr lang="es-UY" baseline="0"/>
              <a:t> Ejecutora/ Asignación Unidad Ejecutora</a:t>
            </a:r>
            <a:endParaRPr lang="es-UY"/>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UY"/>
        </a:p>
      </c:txPr>
    </c:title>
    <c:autoTitleDeleted val="0"/>
    <c:plotArea>
      <c:layout/>
      <c:lineChart>
        <c:grouping val="standard"/>
        <c:varyColors val="0"/>
        <c:ser>
          <c:idx val="0"/>
          <c:order val="0"/>
          <c:tx>
            <c:strRef>
              <c:f>Hoja4!$B$46</c:f>
              <c:strCache>
                <c:ptCount val="1"/>
                <c:pt idx="0">
                  <c:v> 1 </c:v>
                </c:pt>
              </c:strCache>
            </c:strRef>
          </c:tx>
          <c:spPr>
            <a:ln w="28575" cap="rnd">
              <a:solidFill>
                <a:schemeClr val="accent1"/>
              </a:solidFill>
              <a:round/>
            </a:ln>
            <a:effectLst/>
          </c:spPr>
          <c:marker>
            <c:symbol val="none"/>
          </c:marker>
          <c:dLbls>
            <c:dLbl>
              <c:idx val="1"/>
              <c:layout>
                <c:manualLayout>
                  <c:x val="-4.9684693292566404E-2"/>
                  <c:y val="6.5381968341362701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UY"/>
              </a:p>
            </c:txPr>
            <c:showLegendKey val="0"/>
            <c:showVal val="0"/>
            <c:showCatName val="0"/>
            <c:showSerName val="0"/>
            <c:showPercent val="0"/>
            <c:showBubbleSize val="0"/>
            <c:extLst>
              <c:ext xmlns:c15="http://schemas.microsoft.com/office/drawing/2012/chart" uri="{CE6537A1-D6FC-4f65-9D91-7224C49458BB}">
                <c15:showLeaderLines val="1"/>
                <c15:leaderLines>
                  <c:spPr>
                    <a:ln w="12700" cap="flat" cmpd="sng" algn="ctr">
                      <a:solidFill>
                        <a:schemeClr val="tx1"/>
                      </a:solidFill>
                      <a:round/>
                    </a:ln>
                    <a:effectLst/>
                  </c:spPr>
                </c15:leaderLines>
              </c:ext>
            </c:extLst>
          </c:dLbls>
          <c:cat>
            <c:numRef>
              <c:f>Hoja4!$A$47:$A$64</c:f>
              <c:numCache>
                <c:formatCode>General</c:formatCode>
                <c:ptCount val="18"/>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numCache>
            </c:numRef>
          </c:cat>
          <c:val>
            <c:numRef>
              <c:f>Hoja4!$B$47:$B$64</c:f>
              <c:numCache>
                <c:formatCode>0%</c:formatCode>
                <c:ptCount val="18"/>
                <c:pt idx="0">
                  <c:v>0.75211694848421962</c:v>
                </c:pt>
                <c:pt idx="1">
                  <c:v>0.73030256271789173</c:v>
                </c:pt>
                <c:pt idx="2">
                  <c:v>0.7622641039650182</c:v>
                </c:pt>
                <c:pt idx="3">
                  <c:v>0.7350712456261298</c:v>
                </c:pt>
                <c:pt idx="4">
                  <c:v>0.896395933689348</c:v>
                </c:pt>
                <c:pt idx="5">
                  <c:v>0.88321663759367652</c:v>
                </c:pt>
                <c:pt idx="6">
                  <c:v>0.8610633467540183</c:v>
                </c:pt>
                <c:pt idx="7">
                  <c:v>0.85604164367277547</c:v>
                </c:pt>
                <c:pt idx="8">
                  <c:v>0.83855850995038006</c:v>
                </c:pt>
                <c:pt idx="9">
                  <c:v>0.79738247537867379</c:v>
                </c:pt>
                <c:pt idx="10">
                  <c:v>0.77139796906114977</c:v>
                </c:pt>
                <c:pt idx="11">
                  <c:v>0.74103022150789899</c:v>
                </c:pt>
                <c:pt idx="12">
                  <c:v>0.7073243296835694</c:v>
                </c:pt>
                <c:pt idx="13">
                  <c:v>0.66794149781240997</c:v>
                </c:pt>
                <c:pt idx="14">
                  <c:v>0.70966903740358755</c:v>
                </c:pt>
                <c:pt idx="15">
                  <c:v>0.75152597759512074</c:v>
                </c:pt>
                <c:pt idx="16">
                  <c:v>0.76478619316740948</c:v>
                </c:pt>
                <c:pt idx="17">
                  <c:v>0.67144218743012418</c:v>
                </c:pt>
              </c:numCache>
            </c:numRef>
          </c:val>
          <c:smooth val="0"/>
        </c:ser>
        <c:ser>
          <c:idx val="1"/>
          <c:order val="1"/>
          <c:tx>
            <c:strRef>
              <c:f>Hoja4!$C$46</c:f>
              <c:strCache>
                <c:ptCount val="1"/>
                <c:pt idx="0">
                  <c:v> 3 </c:v>
                </c:pt>
              </c:strCache>
            </c:strRef>
          </c:tx>
          <c:spPr>
            <a:ln w="28575" cap="rnd">
              <a:solidFill>
                <a:schemeClr val="accent2"/>
              </a:solidFill>
              <a:round/>
            </a:ln>
            <a:effectLst/>
          </c:spPr>
          <c:marker>
            <c:symbol val="none"/>
          </c:marker>
          <c:dLbls>
            <c:dLbl>
              <c:idx val="10"/>
              <c:layout>
                <c:manualLayout>
                  <c:x val="-1.7198547678195994E-2"/>
                  <c:y val="-5.1617343427391632E-2"/>
                </c:manualLayout>
              </c:layout>
              <c:showLegendKey val="0"/>
              <c:showVal val="1"/>
              <c:showCatName val="0"/>
              <c:showSerName val="0"/>
              <c:showPercent val="0"/>
              <c:showBubbleSize val="0"/>
              <c:extLst>
                <c:ext xmlns:c15="http://schemas.microsoft.com/office/drawing/2012/chart" uri="{CE6537A1-D6FC-4f65-9D91-7224C49458BB}"/>
              </c:extLst>
            </c:dLbl>
            <c:dLbl>
              <c:idx val="16"/>
              <c:layout>
                <c:manualLayout>
                  <c:x val="-2.8664246130326913E-2"/>
                  <c:y val="-5.5058499655884378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UY"/>
                </a:p>
              </c:txPr>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UY"/>
              </a:p>
            </c:txPr>
            <c:showLegendKey val="0"/>
            <c:showVal val="0"/>
            <c:showCatName val="0"/>
            <c:showSerName val="0"/>
            <c:showPercent val="0"/>
            <c:showBubbleSize val="0"/>
            <c:extLst>
              <c:ext xmlns:c15="http://schemas.microsoft.com/office/drawing/2012/chart" uri="{CE6537A1-D6FC-4f65-9D91-7224C49458BB}">
                <c15:showLeaderLines val="1"/>
                <c15:leaderLines>
                  <c:spPr>
                    <a:ln w="12700" cap="flat" cmpd="sng" algn="ctr">
                      <a:solidFill>
                        <a:schemeClr val="tx1"/>
                      </a:solidFill>
                      <a:round/>
                    </a:ln>
                    <a:effectLst/>
                  </c:spPr>
                </c15:leaderLines>
              </c:ext>
            </c:extLst>
          </c:dLbls>
          <c:cat>
            <c:numRef>
              <c:f>Hoja4!$A$47:$A$64</c:f>
              <c:numCache>
                <c:formatCode>General</c:formatCode>
                <c:ptCount val="18"/>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numCache>
            </c:numRef>
          </c:cat>
          <c:val>
            <c:numRef>
              <c:f>Hoja4!$C$47:$C$64</c:f>
              <c:numCache>
                <c:formatCode>0%</c:formatCode>
                <c:ptCount val="18"/>
                <c:pt idx="0">
                  <c:v>0</c:v>
                </c:pt>
                <c:pt idx="1">
                  <c:v>0</c:v>
                </c:pt>
                <c:pt idx="2">
                  <c:v>0</c:v>
                </c:pt>
                <c:pt idx="3">
                  <c:v>0</c:v>
                </c:pt>
                <c:pt idx="4">
                  <c:v>0</c:v>
                </c:pt>
                <c:pt idx="5">
                  <c:v>0</c:v>
                </c:pt>
                <c:pt idx="6">
                  <c:v>0</c:v>
                </c:pt>
                <c:pt idx="7">
                  <c:v>0</c:v>
                </c:pt>
                <c:pt idx="8">
                  <c:v>0</c:v>
                </c:pt>
                <c:pt idx="9">
                  <c:v>0</c:v>
                </c:pt>
                <c:pt idx="10">
                  <c:v>0.22360996888113679</c:v>
                </c:pt>
                <c:pt idx="11">
                  <c:v>0.45147443760421646</c:v>
                </c:pt>
                <c:pt idx="12">
                  <c:v>0.77040287123879092</c:v>
                </c:pt>
                <c:pt idx="13">
                  <c:v>0.84170988954782378</c:v>
                </c:pt>
                <c:pt idx="14">
                  <c:v>0.79592908177367816</c:v>
                </c:pt>
                <c:pt idx="15">
                  <c:v>0.7703286596771497</c:v>
                </c:pt>
                <c:pt idx="16">
                  <c:v>0.89065791451723852</c:v>
                </c:pt>
                <c:pt idx="17">
                  <c:v>0.87471449304216342</c:v>
                </c:pt>
              </c:numCache>
            </c:numRef>
          </c:val>
          <c:smooth val="0"/>
        </c:ser>
        <c:ser>
          <c:idx val="2"/>
          <c:order val="2"/>
          <c:tx>
            <c:strRef>
              <c:f>Hoja4!$D$46</c:f>
              <c:strCache>
                <c:ptCount val="1"/>
                <c:pt idx="0">
                  <c:v> 4 </c:v>
                </c:pt>
              </c:strCache>
            </c:strRef>
          </c:tx>
          <c:spPr>
            <a:ln w="28575" cap="rnd">
              <a:solidFill>
                <a:schemeClr val="accent3"/>
              </a:solidFill>
              <a:round/>
            </a:ln>
            <a:effectLst/>
          </c:spPr>
          <c:marker>
            <c:symbol val="none"/>
          </c:marker>
          <c:cat>
            <c:numRef>
              <c:f>Hoja4!$A$47:$A$64</c:f>
              <c:numCache>
                <c:formatCode>General</c:formatCode>
                <c:ptCount val="18"/>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numCache>
            </c:numRef>
          </c:cat>
          <c:val>
            <c:numRef>
              <c:f>Hoja4!$D$47:$D$64</c:f>
              <c:numCache>
                <c:formatCode>0%</c:formatCode>
                <c:ptCount val="18"/>
                <c:pt idx="0">
                  <c:v>0.76014896579860658</c:v>
                </c:pt>
                <c:pt idx="1">
                  <c:v>0.82013508802601998</c:v>
                </c:pt>
                <c:pt idx="2">
                  <c:v>0.98024984080298538</c:v>
                </c:pt>
                <c:pt idx="3">
                  <c:v>0.88180936664729803</c:v>
                </c:pt>
                <c:pt idx="4">
                  <c:v>0.90020244578201514</c:v>
                </c:pt>
                <c:pt idx="5">
                  <c:v>0.85296410487258068</c:v>
                </c:pt>
                <c:pt idx="6">
                  <c:v>0.84666988384713615</c:v>
                </c:pt>
                <c:pt idx="7">
                  <c:v>0.97701150952010485</c:v>
                </c:pt>
                <c:pt idx="8">
                  <c:v>0.92043229528447423</c:v>
                </c:pt>
                <c:pt idx="9">
                  <c:v>0.88223703924569608</c:v>
                </c:pt>
                <c:pt idx="10">
                  <c:v>0.84081242753973318</c:v>
                </c:pt>
                <c:pt idx="11">
                  <c:v>0.89448712316647694</c:v>
                </c:pt>
                <c:pt idx="12">
                  <c:v>0.84657452492270224</c:v>
                </c:pt>
                <c:pt idx="13">
                  <c:v>0.78407389466743127</c:v>
                </c:pt>
                <c:pt idx="14">
                  <c:v>0.77786468241401263</c:v>
                </c:pt>
                <c:pt idx="15">
                  <c:v>0.71798601552787233</c:v>
                </c:pt>
                <c:pt idx="16">
                  <c:v>0.57336258719372746</c:v>
                </c:pt>
                <c:pt idx="17">
                  <c:v>0.57886328756191885</c:v>
                </c:pt>
              </c:numCache>
            </c:numRef>
          </c:val>
          <c:smooth val="0"/>
        </c:ser>
        <c:ser>
          <c:idx val="3"/>
          <c:order val="3"/>
          <c:tx>
            <c:strRef>
              <c:f>Hoja4!$E$46</c:f>
              <c:strCache>
                <c:ptCount val="1"/>
                <c:pt idx="0">
                  <c:v> 6 </c:v>
                </c:pt>
              </c:strCache>
            </c:strRef>
          </c:tx>
          <c:spPr>
            <a:ln w="28575" cap="rnd">
              <a:solidFill>
                <a:schemeClr val="accent4"/>
              </a:solidFill>
              <a:round/>
            </a:ln>
            <a:effectLst/>
          </c:spPr>
          <c:marker>
            <c:symbol val="none"/>
          </c:marker>
          <c:dLbls>
            <c:dLbl>
              <c:idx val="3"/>
              <c:layout>
                <c:manualLayout>
                  <c:x val="-8.0259889164914958E-2"/>
                  <c:y val="2.0646937370956641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UY"/>
              </a:p>
            </c:txPr>
            <c:showLegendKey val="0"/>
            <c:showVal val="0"/>
            <c:showCatName val="0"/>
            <c:showSerName val="0"/>
            <c:showPercent val="0"/>
            <c:showBubbleSize val="0"/>
            <c:extLst>
              <c:ext xmlns:c15="http://schemas.microsoft.com/office/drawing/2012/chart" uri="{CE6537A1-D6FC-4f65-9D91-7224C49458BB}">
                <c15:showLeaderLines val="1"/>
                <c15:leaderLines>
                  <c:spPr>
                    <a:ln w="12700" cap="flat" cmpd="sng" algn="ctr">
                      <a:solidFill>
                        <a:schemeClr val="tx1"/>
                      </a:solidFill>
                      <a:round/>
                    </a:ln>
                    <a:effectLst/>
                  </c:spPr>
                </c15:leaderLines>
              </c:ext>
            </c:extLst>
          </c:dLbls>
          <c:cat>
            <c:numRef>
              <c:f>Hoja4!$A$47:$A$64</c:f>
              <c:numCache>
                <c:formatCode>General</c:formatCode>
                <c:ptCount val="18"/>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numCache>
            </c:numRef>
          </c:cat>
          <c:val>
            <c:numRef>
              <c:f>Hoja4!$E$47:$E$64</c:f>
              <c:numCache>
                <c:formatCode>0%</c:formatCode>
                <c:ptCount val="18"/>
                <c:pt idx="0">
                  <c:v>0.75344801701674768</c:v>
                </c:pt>
                <c:pt idx="1">
                  <c:v>0.77566638321987369</c:v>
                </c:pt>
                <c:pt idx="2">
                  <c:v>0.90115236923815378</c:v>
                </c:pt>
                <c:pt idx="3">
                  <c:v>0.88080238320554216</c:v>
                </c:pt>
                <c:pt idx="4">
                  <c:v>0.90814170047872544</c:v>
                </c:pt>
                <c:pt idx="5">
                  <c:v>0.82856373522504012</c:v>
                </c:pt>
                <c:pt idx="6">
                  <c:v>0.80800801052388982</c:v>
                </c:pt>
                <c:pt idx="7">
                  <c:v>0.82186275589896585</c:v>
                </c:pt>
                <c:pt idx="8">
                  <c:v>0.86068816366701584</c:v>
                </c:pt>
                <c:pt idx="9">
                  <c:v>0.80562778730326623</c:v>
                </c:pt>
                <c:pt idx="10">
                  <c:v>0.83683033373268789</c:v>
                </c:pt>
                <c:pt idx="11">
                  <c:v>0.70497570485881411</c:v>
                </c:pt>
                <c:pt idx="12">
                  <c:v>0</c:v>
                </c:pt>
                <c:pt idx="13">
                  <c:v>0</c:v>
                </c:pt>
                <c:pt idx="14">
                  <c:v>0</c:v>
                </c:pt>
                <c:pt idx="15">
                  <c:v>0</c:v>
                </c:pt>
                <c:pt idx="16">
                  <c:v>0</c:v>
                </c:pt>
                <c:pt idx="17">
                  <c:v>0</c:v>
                </c:pt>
              </c:numCache>
            </c:numRef>
          </c:val>
          <c:smooth val="0"/>
        </c:ser>
        <c:ser>
          <c:idx val="4"/>
          <c:order val="4"/>
          <c:tx>
            <c:strRef>
              <c:f>Hoja4!$F$46</c:f>
              <c:strCache>
                <c:ptCount val="1"/>
                <c:pt idx="0">
                  <c:v> 7 </c:v>
                </c:pt>
              </c:strCache>
            </c:strRef>
          </c:tx>
          <c:spPr>
            <a:ln w="28575" cap="rnd">
              <a:solidFill>
                <a:schemeClr val="accent5"/>
              </a:solidFill>
              <a:round/>
            </a:ln>
            <a:effectLst/>
          </c:spPr>
          <c:marker>
            <c:symbol val="none"/>
          </c:marker>
          <c:dLbls>
            <c:dLbl>
              <c:idx val="17"/>
              <c:layout>
                <c:manualLayout>
                  <c:x val="-7.4527039938849612E-2"/>
                  <c:y val="2.0646937370956641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UY"/>
              </a:p>
            </c:txPr>
            <c:showLegendKey val="0"/>
            <c:showVal val="0"/>
            <c:showCatName val="0"/>
            <c:showSerName val="0"/>
            <c:showPercent val="0"/>
            <c:showBubbleSize val="0"/>
            <c:extLst>
              <c:ext xmlns:c15="http://schemas.microsoft.com/office/drawing/2012/chart" uri="{CE6537A1-D6FC-4f65-9D91-7224C49458BB}">
                <c15:showLeaderLines val="1"/>
                <c15:leaderLines>
                  <c:spPr>
                    <a:ln w="12700" cap="flat" cmpd="sng" algn="ctr">
                      <a:solidFill>
                        <a:schemeClr val="tx1"/>
                      </a:solidFill>
                      <a:round/>
                    </a:ln>
                    <a:effectLst/>
                  </c:spPr>
                </c15:leaderLines>
              </c:ext>
            </c:extLst>
          </c:dLbls>
          <c:cat>
            <c:numRef>
              <c:f>Hoja4!$A$47:$A$64</c:f>
              <c:numCache>
                <c:formatCode>General</c:formatCode>
                <c:ptCount val="18"/>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numCache>
            </c:numRef>
          </c:cat>
          <c:val>
            <c:numRef>
              <c:f>Hoja4!$F$47:$F$64</c:f>
              <c:numCache>
                <c:formatCode>0%</c:formatCode>
                <c:ptCount val="18"/>
                <c:pt idx="0">
                  <c:v>0.69715661629836045</c:v>
                </c:pt>
                <c:pt idx="1">
                  <c:v>0.83736036605707487</c:v>
                </c:pt>
                <c:pt idx="2">
                  <c:v>0.88372249611467424</c:v>
                </c:pt>
                <c:pt idx="3">
                  <c:v>0.85636662080993908</c:v>
                </c:pt>
                <c:pt idx="4">
                  <c:v>0.96186717093360119</c:v>
                </c:pt>
                <c:pt idx="5">
                  <c:v>0.96188076145857637</c:v>
                </c:pt>
                <c:pt idx="6">
                  <c:v>0.95637572199636423</c:v>
                </c:pt>
                <c:pt idx="7">
                  <c:v>0.96543226795864467</c:v>
                </c:pt>
                <c:pt idx="8">
                  <c:v>0.96367145806026788</c:v>
                </c:pt>
                <c:pt idx="9">
                  <c:v>0.95632024129857363</c:v>
                </c:pt>
                <c:pt idx="10">
                  <c:v>0.93839594646975633</c:v>
                </c:pt>
                <c:pt idx="11">
                  <c:v>0.85664590534337293</c:v>
                </c:pt>
                <c:pt idx="12">
                  <c:v>0.86255106914847335</c:v>
                </c:pt>
                <c:pt idx="13">
                  <c:v>0.80308418481537092</c:v>
                </c:pt>
                <c:pt idx="14">
                  <c:v>0.77844481255894493</c:v>
                </c:pt>
                <c:pt idx="15">
                  <c:v>0.78293282915875217</c:v>
                </c:pt>
                <c:pt idx="16">
                  <c:v>0.15087809256503129</c:v>
                </c:pt>
                <c:pt idx="17">
                  <c:v>0.14832939019129388</c:v>
                </c:pt>
              </c:numCache>
            </c:numRef>
          </c:val>
          <c:smooth val="0"/>
        </c:ser>
        <c:ser>
          <c:idx val="5"/>
          <c:order val="5"/>
          <c:tx>
            <c:strRef>
              <c:f>Hoja4!$G$46</c:f>
              <c:strCache>
                <c:ptCount val="1"/>
                <c:pt idx="0">
                  <c:v> 8 </c:v>
                </c:pt>
              </c:strCache>
            </c:strRef>
          </c:tx>
          <c:spPr>
            <a:ln w="28575" cap="rnd">
              <a:solidFill>
                <a:schemeClr val="accent6"/>
              </a:solidFill>
              <a:round/>
            </a:ln>
            <a:effectLst/>
          </c:spPr>
          <c:marker>
            <c:symbol val="none"/>
          </c:marker>
          <c:dLbls>
            <c:dLbl>
              <c:idx val="3"/>
              <c:layout>
                <c:manualLayout>
                  <c:x val="1.1465698452130709E-2"/>
                  <c:y val="-1.5771783850265649E-17"/>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UY"/>
              </a:p>
            </c:txPr>
            <c:showLegendKey val="0"/>
            <c:showVal val="0"/>
            <c:showCatName val="0"/>
            <c:showSerName val="0"/>
            <c:showPercent val="0"/>
            <c:showBubbleSize val="0"/>
            <c:extLst>
              <c:ext xmlns:c15="http://schemas.microsoft.com/office/drawing/2012/chart" uri="{CE6537A1-D6FC-4f65-9D91-7224C49458BB}">
                <c15:showLeaderLines val="1"/>
                <c15:leaderLines>
                  <c:spPr>
                    <a:ln w="12700" cap="flat" cmpd="sng" algn="ctr">
                      <a:solidFill>
                        <a:schemeClr val="tx1"/>
                      </a:solidFill>
                      <a:round/>
                    </a:ln>
                    <a:effectLst/>
                  </c:spPr>
                </c15:leaderLines>
              </c:ext>
            </c:extLst>
          </c:dLbls>
          <c:cat>
            <c:numRef>
              <c:f>Hoja4!$A$47:$A$64</c:f>
              <c:numCache>
                <c:formatCode>General</c:formatCode>
                <c:ptCount val="18"/>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numCache>
            </c:numRef>
          </c:cat>
          <c:val>
            <c:numRef>
              <c:f>Hoja4!$G$47:$G$64</c:f>
              <c:numCache>
                <c:formatCode>0%</c:formatCode>
                <c:ptCount val="18"/>
                <c:pt idx="0">
                  <c:v>0.76697688588121393</c:v>
                </c:pt>
                <c:pt idx="1">
                  <c:v>1.940727253644368</c:v>
                </c:pt>
                <c:pt idx="2">
                  <c:v>0.40276570398141209</c:v>
                </c:pt>
                <c:pt idx="3">
                  <c:v>0.83072925968512989</c:v>
                </c:pt>
                <c:pt idx="4">
                  <c:v>0.90772922681149626</c:v>
                </c:pt>
                <c:pt idx="5">
                  <c:v>0.86904351272874314</c:v>
                </c:pt>
                <c:pt idx="6">
                  <c:v>0.90731053732428202</c:v>
                </c:pt>
                <c:pt idx="7">
                  <c:v>0.93138002940766607</c:v>
                </c:pt>
                <c:pt idx="8">
                  <c:v>0.88850571536756229</c:v>
                </c:pt>
                <c:pt idx="9">
                  <c:v>0.87771429119363564</c:v>
                </c:pt>
                <c:pt idx="10">
                  <c:v>0.87146270788147195</c:v>
                </c:pt>
                <c:pt idx="11">
                  <c:v>0.77881718261402222</c:v>
                </c:pt>
                <c:pt idx="12">
                  <c:v>0.8162866101973455</c:v>
                </c:pt>
                <c:pt idx="13">
                  <c:v>0.82528017318041147</c:v>
                </c:pt>
                <c:pt idx="14">
                  <c:v>0.7961976420633935</c:v>
                </c:pt>
                <c:pt idx="15">
                  <c:v>0.77051549833259914</c:v>
                </c:pt>
                <c:pt idx="16">
                  <c:v>0.8027041535290923</c:v>
                </c:pt>
                <c:pt idx="17">
                  <c:v>0.7661842719683698</c:v>
                </c:pt>
              </c:numCache>
            </c:numRef>
          </c:val>
          <c:smooth val="0"/>
        </c:ser>
        <c:ser>
          <c:idx val="6"/>
          <c:order val="6"/>
          <c:tx>
            <c:strRef>
              <c:f>Hoja4!$H$46</c:f>
              <c:strCache>
                <c:ptCount val="1"/>
                <c:pt idx="0">
                  <c:v> 10 </c:v>
                </c:pt>
              </c:strCache>
            </c:strRef>
          </c:tx>
          <c:spPr>
            <a:ln w="28575" cap="rnd">
              <a:solidFill>
                <a:schemeClr val="accent1">
                  <a:lumMod val="60000"/>
                </a:schemeClr>
              </a:solidFill>
              <a:round/>
            </a:ln>
            <a:effectLst/>
          </c:spPr>
          <c:marker>
            <c:symbol val="none"/>
          </c:marker>
          <c:cat>
            <c:numRef>
              <c:f>Hoja4!$A$47:$A$64</c:f>
              <c:numCache>
                <c:formatCode>General</c:formatCode>
                <c:ptCount val="18"/>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numCache>
            </c:numRef>
          </c:cat>
          <c:val>
            <c:numRef>
              <c:f>Hoja4!$H$47:$H$64</c:f>
              <c:numCache>
                <c:formatCode>0%</c:formatCode>
                <c:ptCount val="18"/>
                <c:pt idx="0">
                  <c:v>0.70157503628684492</c:v>
                </c:pt>
                <c:pt idx="1">
                  <c:v>0.81988228178613054</c:v>
                </c:pt>
                <c:pt idx="2">
                  <c:v>0.95237465603080573</c:v>
                </c:pt>
                <c:pt idx="3">
                  <c:v>0.94199382331418757</c:v>
                </c:pt>
                <c:pt idx="4">
                  <c:v>0.96873231371087798</c:v>
                </c:pt>
                <c:pt idx="5">
                  <c:v>0.9329758137070695</c:v>
                </c:pt>
                <c:pt idx="6">
                  <c:v>0.93655350168159057</c:v>
                </c:pt>
                <c:pt idx="7">
                  <c:v>0.87218224456667193</c:v>
                </c:pt>
                <c:pt idx="8">
                  <c:v>0.92689486309795466</c:v>
                </c:pt>
                <c:pt idx="9">
                  <c:v>0.96176342142267857</c:v>
                </c:pt>
                <c:pt idx="10">
                  <c:v>0.9164276624986073</c:v>
                </c:pt>
                <c:pt idx="11">
                  <c:v>0.97589349812668313</c:v>
                </c:pt>
                <c:pt idx="12">
                  <c:v>0</c:v>
                </c:pt>
                <c:pt idx="13">
                  <c:v>0</c:v>
                </c:pt>
                <c:pt idx="14">
                  <c:v>0</c:v>
                </c:pt>
                <c:pt idx="15">
                  <c:v>0</c:v>
                </c:pt>
                <c:pt idx="16">
                  <c:v>0</c:v>
                </c:pt>
                <c:pt idx="17">
                  <c:v>0</c:v>
                </c:pt>
              </c:numCache>
            </c:numRef>
          </c:val>
          <c:smooth val="0"/>
        </c:ser>
        <c:ser>
          <c:idx val="7"/>
          <c:order val="7"/>
          <c:tx>
            <c:strRef>
              <c:f>Hoja4!$I$46</c:f>
              <c:strCache>
                <c:ptCount val="1"/>
                <c:pt idx="0">
                  <c:v> 15 </c:v>
                </c:pt>
              </c:strCache>
            </c:strRef>
          </c:tx>
          <c:spPr>
            <a:ln w="28575" cap="rnd">
              <a:solidFill>
                <a:schemeClr val="accent2">
                  <a:lumMod val="60000"/>
                </a:schemeClr>
              </a:solidFill>
              <a:round/>
            </a:ln>
            <a:effectLst/>
          </c:spPr>
          <c:marker>
            <c:symbol val="none"/>
          </c:marker>
          <c:dLbls>
            <c:dLbl>
              <c:idx val="6"/>
              <c:layout>
                <c:manualLayout>
                  <c:x val="-1.910949742021785E-2"/>
                  <c:y val="-5.1617343427391632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UY"/>
                </a:p>
              </c:txPr>
              <c:showLegendKey val="0"/>
              <c:showVal val="1"/>
              <c:showCatName val="0"/>
              <c:showSerName val="0"/>
              <c:showPercent val="0"/>
              <c:showBubbleSize val="0"/>
              <c:extLst>
                <c:ext xmlns:c15="http://schemas.microsoft.com/office/drawing/2012/chart" uri="{CE6537A1-D6FC-4f65-9D91-7224C49458BB}"/>
              </c:extLst>
            </c:dLbl>
            <c:dLbl>
              <c:idx val="10"/>
              <c:layout>
                <c:manualLayout>
                  <c:x val="-3.248614561437034E-2"/>
                  <c:y val="0.13764624913971094"/>
                </c:manualLayout>
              </c:layout>
              <c:tx>
                <c:rich>
                  <a:bodyPr/>
                  <a:lstStyle/>
                  <a:p>
                    <a:fld id="{404439DF-4C34-464A-9234-A6F426E1D322}" type="VALUE">
                      <a:rPr lang="en-US" b="1"/>
                      <a:pPr/>
                      <a:t>[VALOR]</a:t>
                    </a:fld>
                    <a:endParaRPr lang="es-UY"/>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UY"/>
              </a:p>
            </c:txPr>
            <c:showLegendKey val="0"/>
            <c:showVal val="0"/>
            <c:showCatName val="0"/>
            <c:showSerName val="0"/>
            <c:showPercent val="0"/>
            <c:showBubbleSize val="0"/>
            <c:extLst>
              <c:ext xmlns:c15="http://schemas.microsoft.com/office/drawing/2012/chart" uri="{CE6537A1-D6FC-4f65-9D91-7224C49458BB}">
                <c15:showLeaderLines val="1"/>
                <c15:leaderLines>
                  <c:spPr>
                    <a:ln w="12700" cap="flat" cmpd="sng" algn="ctr">
                      <a:solidFill>
                        <a:schemeClr val="tx1"/>
                      </a:solidFill>
                      <a:round/>
                    </a:ln>
                    <a:effectLst/>
                  </c:spPr>
                </c15:leaderLines>
              </c:ext>
            </c:extLst>
          </c:dLbls>
          <c:cat>
            <c:numRef>
              <c:f>Hoja4!$A$47:$A$64</c:f>
              <c:numCache>
                <c:formatCode>General</c:formatCode>
                <c:ptCount val="18"/>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numCache>
            </c:numRef>
          </c:cat>
          <c:val>
            <c:numRef>
              <c:f>Hoja4!$I$47:$I$64</c:f>
              <c:numCache>
                <c:formatCode>0%</c:formatCode>
                <c:ptCount val="18"/>
                <c:pt idx="0">
                  <c:v>0.9331761851406537</c:v>
                </c:pt>
                <c:pt idx="1">
                  <c:v>0.84838832501757255</c:v>
                </c:pt>
                <c:pt idx="2">
                  <c:v>0.80166468234722532</c:v>
                </c:pt>
                <c:pt idx="3">
                  <c:v>0.89395528069578922</c:v>
                </c:pt>
                <c:pt idx="4">
                  <c:v>0.98877030096127538</c:v>
                </c:pt>
                <c:pt idx="5">
                  <c:v>0.98589808417140445</c:v>
                </c:pt>
                <c:pt idx="6">
                  <c:v>0.98198160871432116</c:v>
                </c:pt>
                <c:pt idx="7">
                  <c:v>0.98498254109596628</c:v>
                </c:pt>
                <c:pt idx="8">
                  <c:v>0.97907383013700777</c:v>
                </c:pt>
                <c:pt idx="9">
                  <c:v>0.99338025642998473</c:v>
                </c:pt>
                <c:pt idx="10">
                  <c:v>0.99505621680755463</c:v>
                </c:pt>
                <c:pt idx="11">
                  <c:v>0.99256572742258153</c:v>
                </c:pt>
                <c:pt idx="12">
                  <c:v>0.84896981902341362</c:v>
                </c:pt>
                <c:pt idx="13">
                  <c:v>0.83312704325554165</c:v>
                </c:pt>
                <c:pt idx="14">
                  <c:v>0.78403765631235156</c:v>
                </c:pt>
                <c:pt idx="15">
                  <c:v>0.73118839864363505</c:v>
                </c:pt>
                <c:pt idx="16">
                  <c:v>0.67481391154481551</c:v>
                </c:pt>
                <c:pt idx="17">
                  <c:v>0.62724096191507184</c:v>
                </c:pt>
              </c:numCache>
            </c:numRef>
          </c:val>
          <c:smooth val="0"/>
        </c:ser>
        <c:ser>
          <c:idx val="8"/>
          <c:order val="8"/>
          <c:tx>
            <c:strRef>
              <c:f>Hoja4!$J$46</c:f>
              <c:strCache>
                <c:ptCount val="1"/>
                <c:pt idx="0">
                  <c:v> 16 </c:v>
                </c:pt>
              </c:strCache>
            </c:strRef>
          </c:tx>
          <c:spPr>
            <a:ln w="28575" cap="rnd">
              <a:solidFill>
                <a:schemeClr val="accent3">
                  <a:lumMod val="60000"/>
                </a:schemeClr>
              </a:solidFill>
              <a:round/>
            </a:ln>
            <a:effectLst/>
          </c:spPr>
          <c:marker>
            <c:symbol val="none"/>
          </c:marker>
          <c:dLbls>
            <c:dLbl>
              <c:idx val="1"/>
              <c:layout>
                <c:manualLayout>
                  <c:x val="-6.6883240970762467E-2"/>
                  <c:y val="-3.4411562284928999E-3"/>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UY"/>
                </a:p>
              </c:txPr>
              <c:showLegendKey val="0"/>
              <c:showVal val="1"/>
              <c:showCatName val="0"/>
              <c:showSerName val="0"/>
              <c:showPercent val="0"/>
              <c:showBubbleSize val="0"/>
              <c:extLst>
                <c:ext xmlns:c15="http://schemas.microsoft.com/office/drawing/2012/chart" uri="{CE6537A1-D6FC-4f65-9D91-7224C49458BB}"/>
              </c:extLst>
            </c:dLbl>
            <c:dLbl>
              <c:idx val="15"/>
              <c:layout>
                <c:manualLayout>
                  <c:x val="-3.248614561437034E-2"/>
                  <c:y val="-7.2264280798348277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UY"/>
                </a:p>
              </c:txPr>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UY"/>
              </a:p>
            </c:txPr>
            <c:showLegendKey val="0"/>
            <c:showVal val="0"/>
            <c:showCatName val="0"/>
            <c:showSerName val="0"/>
            <c:showPercent val="0"/>
            <c:showBubbleSize val="0"/>
            <c:extLst>
              <c:ext xmlns:c15="http://schemas.microsoft.com/office/drawing/2012/chart" uri="{CE6537A1-D6FC-4f65-9D91-7224C49458BB}">
                <c15:showLeaderLines val="1"/>
                <c15:leaderLines>
                  <c:spPr>
                    <a:ln w="12700" cap="flat" cmpd="sng" algn="ctr">
                      <a:solidFill>
                        <a:schemeClr val="tx1"/>
                      </a:solidFill>
                      <a:round/>
                    </a:ln>
                    <a:effectLst/>
                  </c:spPr>
                </c15:leaderLines>
              </c:ext>
            </c:extLst>
          </c:dLbls>
          <c:cat>
            <c:numRef>
              <c:f>Hoja4!$A$47:$A$64</c:f>
              <c:numCache>
                <c:formatCode>General</c:formatCode>
                <c:ptCount val="18"/>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numCache>
            </c:numRef>
          </c:cat>
          <c:val>
            <c:numRef>
              <c:f>Hoja4!$J$47:$J$64</c:f>
              <c:numCache>
                <c:formatCode>0%</c:formatCode>
                <c:ptCount val="18"/>
                <c:pt idx="0">
                  <c:v>0.73289532633761434</c:v>
                </c:pt>
                <c:pt idx="1">
                  <c:v>0.63394736363456738</c:v>
                </c:pt>
                <c:pt idx="2">
                  <c:v>0.85138079295792979</c:v>
                </c:pt>
                <c:pt idx="3">
                  <c:v>0.83780859996186696</c:v>
                </c:pt>
                <c:pt idx="4">
                  <c:v>0.84662444867310371</c:v>
                </c:pt>
                <c:pt idx="5">
                  <c:v>0.85689200112650543</c:v>
                </c:pt>
                <c:pt idx="6">
                  <c:v>0.84162809225896851</c:v>
                </c:pt>
                <c:pt idx="7">
                  <c:v>0.86482040491383438</c:v>
                </c:pt>
                <c:pt idx="8">
                  <c:v>0.84170579834886983</c:v>
                </c:pt>
                <c:pt idx="9">
                  <c:v>0.7888954591885089</c:v>
                </c:pt>
                <c:pt idx="10">
                  <c:v>0.87100402374007413</c:v>
                </c:pt>
                <c:pt idx="11">
                  <c:v>0.78952243773517083</c:v>
                </c:pt>
                <c:pt idx="12">
                  <c:v>0.7679201686126983</c:v>
                </c:pt>
                <c:pt idx="13">
                  <c:v>0.84840334663440864</c:v>
                </c:pt>
                <c:pt idx="14">
                  <c:v>0.79863993551421675</c:v>
                </c:pt>
                <c:pt idx="15">
                  <c:v>0.81149381628310291</c:v>
                </c:pt>
                <c:pt idx="16">
                  <c:v>0.8332277254429018</c:v>
                </c:pt>
                <c:pt idx="17">
                  <c:v>0.81030964101719594</c:v>
                </c:pt>
              </c:numCache>
            </c:numRef>
          </c:val>
          <c:smooth val="0"/>
        </c:ser>
        <c:ser>
          <c:idx val="9"/>
          <c:order val="9"/>
          <c:tx>
            <c:strRef>
              <c:f>Hoja4!$K$46</c:f>
              <c:strCache>
                <c:ptCount val="1"/>
                <c:pt idx="0">
                  <c:v> 24 </c:v>
                </c:pt>
              </c:strCache>
            </c:strRef>
          </c:tx>
          <c:spPr>
            <a:ln w="28575" cap="rnd">
              <a:solidFill>
                <a:schemeClr val="accent4">
                  <a:lumMod val="60000"/>
                </a:schemeClr>
              </a:solidFill>
              <a:round/>
            </a:ln>
            <a:effectLst/>
          </c:spPr>
          <c:marker>
            <c:symbol val="none"/>
          </c:marker>
          <c:cat>
            <c:numRef>
              <c:f>Hoja4!$A$47:$A$64</c:f>
              <c:numCache>
                <c:formatCode>General</c:formatCode>
                <c:ptCount val="18"/>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numCache>
            </c:numRef>
          </c:cat>
          <c:val>
            <c:numRef>
              <c:f>Hoja4!$K$47:$K$64</c:f>
              <c:numCache>
                <c:formatCode>0%</c:formatCode>
                <c:ptCount val="18"/>
                <c:pt idx="0">
                  <c:v>0</c:v>
                </c:pt>
                <c:pt idx="1">
                  <c:v>0</c:v>
                </c:pt>
                <c:pt idx="2">
                  <c:v>0</c:v>
                </c:pt>
                <c:pt idx="3">
                  <c:v>0</c:v>
                </c:pt>
                <c:pt idx="4">
                  <c:v>0</c:v>
                </c:pt>
                <c:pt idx="5">
                  <c:v>0.92355829838423953</c:v>
                </c:pt>
                <c:pt idx="6">
                  <c:v>0.92871392163897515</c:v>
                </c:pt>
                <c:pt idx="7">
                  <c:v>0.40145838946565848</c:v>
                </c:pt>
                <c:pt idx="8">
                  <c:v>0.80511973815707427</c:v>
                </c:pt>
                <c:pt idx="9">
                  <c:v>0.7626265785177726</c:v>
                </c:pt>
                <c:pt idx="10">
                  <c:v>0.86099392495382787</c:v>
                </c:pt>
                <c:pt idx="11">
                  <c:v>0.78987057006661632</c:v>
                </c:pt>
                <c:pt idx="12">
                  <c:v>0.8515344138627633</c:v>
                </c:pt>
                <c:pt idx="13">
                  <c:v>0.82928189238295658</c:v>
                </c:pt>
                <c:pt idx="14">
                  <c:v>0.81780754021492164</c:v>
                </c:pt>
                <c:pt idx="15">
                  <c:v>0.84802945339203062</c:v>
                </c:pt>
                <c:pt idx="16">
                  <c:v>0.85055783737988833</c:v>
                </c:pt>
                <c:pt idx="17">
                  <c:v>0.88245450089095367</c:v>
                </c:pt>
              </c:numCache>
            </c:numRef>
          </c:val>
          <c:smooth val="0"/>
        </c:ser>
        <c:dLbls>
          <c:showLegendKey val="0"/>
          <c:showVal val="0"/>
          <c:showCatName val="0"/>
          <c:showSerName val="0"/>
          <c:showPercent val="0"/>
          <c:showBubbleSize val="0"/>
        </c:dLbls>
        <c:smooth val="0"/>
        <c:axId val="1440706944"/>
        <c:axId val="1440704768"/>
      </c:lineChart>
      <c:catAx>
        <c:axId val="14407069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UY"/>
          </a:p>
        </c:txPr>
        <c:crossAx val="1440704768"/>
        <c:crosses val="autoZero"/>
        <c:auto val="1"/>
        <c:lblAlgn val="ctr"/>
        <c:lblOffset val="100"/>
        <c:noMultiLvlLbl val="0"/>
      </c:catAx>
      <c:valAx>
        <c:axId val="1440704768"/>
        <c:scaling>
          <c:orientation val="minMax"/>
          <c:max val="1.2"/>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UY"/>
          </a:p>
        </c:txPr>
        <c:crossAx val="14407069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UY"/>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UY"/>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8B7AD7-5F82-452D-9C84-B03C0DDC9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6438</TotalTime>
  <Pages>16</Pages>
  <Words>4717</Words>
  <Characters>25949</Characters>
  <Application>Microsoft Office Word</Application>
  <DocSecurity>0</DocSecurity>
  <Lines>216</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Hernán Cabrera</dc:creator>
  <cp:keywords/>
  <dc:description/>
  <cp:lastModifiedBy>Cabrera Díaz</cp:lastModifiedBy>
  <cp:revision>101</cp:revision>
  <dcterms:created xsi:type="dcterms:W3CDTF">2016-07-08T16:43:00Z</dcterms:created>
  <dcterms:modified xsi:type="dcterms:W3CDTF">2018-04-01T02:53:00Z</dcterms:modified>
</cp:coreProperties>
</file>